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997"/>
        <w:gridCol w:w="3399"/>
      </w:tblGrid>
      <w:tr w:rsidR="002346AC" w14:paraId="569A8D55" w14:textId="77777777" w:rsidTr="004441EB">
        <w:trPr>
          <w:trHeight w:val="565"/>
        </w:trPr>
        <w:tc>
          <w:tcPr>
            <w:tcW w:w="6997" w:type="dxa"/>
            <w:tcBorders>
              <w:top w:val="none" w:sz="0" w:space="0" w:color="FFFFFF"/>
              <w:left w:val="none" w:sz="0" w:space="0" w:color="FFFFFF"/>
              <w:bottom w:val="none" w:sz="0" w:space="0" w:color="FFFFFF"/>
              <w:right w:val="none" w:sz="0" w:space="0" w:color="FFFFFF"/>
            </w:tcBorders>
            <w:shd w:val="clear" w:color="auto" w:fill="006969"/>
            <w:tcMar>
              <w:top w:w="100" w:type="dxa"/>
              <w:left w:w="220" w:type="dxa"/>
              <w:bottom w:w="100" w:type="dxa"/>
              <w:right w:w="200" w:type="dxa"/>
            </w:tcMar>
            <w:vAlign w:val="center"/>
          </w:tcPr>
          <w:p w14:paraId="75659D1A" w14:textId="125C030D" w:rsidR="002346AC" w:rsidRDefault="00525D09">
            <w:pPr>
              <w:spacing w:after="30"/>
            </w:pPr>
            <w:proofErr w:type="spellStart"/>
            <w:r w:rsidRPr="00525D09">
              <w:rPr>
                <w:b/>
                <w:bCs/>
                <w:color w:val="FFFFFF"/>
                <w:sz w:val="28"/>
                <w:szCs w:val="28"/>
              </w:rPr>
              <w:t>Fincart</w:t>
            </w:r>
            <w:proofErr w:type="spellEnd"/>
            <w:r w:rsidRPr="00525D09">
              <w:rPr>
                <w:b/>
                <w:bCs/>
                <w:color w:val="FFFFFF"/>
                <w:sz w:val="28"/>
                <w:szCs w:val="28"/>
              </w:rPr>
              <w:t xml:space="preserve"> Direct Mutual Fund Strategic Portfolio </w:t>
            </w:r>
            <w:proofErr w:type="spellStart"/>
            <w:r w:rsidRPr="008C5989">
              <w:rPr>
                <w:color w:val="F5F4EC"/>
                <w:sz w:val="15"/>
                <w:szCs w:val="15"/>
              </w:rPr>
              <w:t>Portfolio</w:t>
            </w:r>
            <w:proofErr w:type="spellEnd"/>
            <w:r w:rsidRPr="008C5989">
              <w:rPr>
                <w:color w:val="F5F4EC"/>
                <w:sz w:val="15"/>
                <w:szCs w:val="15"/>
              </w:rPr>
              <w:t xml:space="preserve"> Management Services  •  SEBI Reg. INP000006101</w:t>
            </w:r>
          </w:p>
        </w:tc>
        <w:tc>
          <w:tcPr>
            <w:tcW w:w="3398" w:type="dxa"/>
            <w:tcBorders>
              <w:top w:val="none" w:sz="0" w:space="0" w:color="FFFFFF"/>
              <w:left w:val="none" w:sz="0" w:space="0" w:color="FFFFFF"/>
              <w:bottom w:val="none" w:sz="0" w:space="0" w:color="FFFFFF"/>
              <w:right w:val="none" w:sz="0" w:space="0" w:color="FFFFFF"/>
            </w:tcBorders>
            <w:shd w:val="clear" w:color="auto" w:fill="003D3D"/>
            <w:tcMar>
              <w:top w:w="85" w:type="dxa"/>
              <w:left w:w="200" w:type="dxa"/>
              <w:bottom w:w="85" w:type="dxa"/>
              <w:right w:w="220" w:type="dxa"/>
            </w:tcMar>
            <w:vAlign w:val="center"/>
          </w:tcPr>
          <w:p w14:paraId="5648F40B" w14:textId="77777777" w:rsidR="002346AC" w:rsidRDefault="00000000">
            <w:pPr>
              <w:spacing w:after="20"/>
              <w:jc w:val="right"/>
            </w:pPr>
            <w:r>
              <w:rPr>
                <w:b/>
                <w:bCs/>
                <w:color w:val="F5F4EC"/>
                <w:sz w:val="13"/>
                <w:szCs w:val="13"/>
              </w:rPr>
              <w:t>FACTSHEET</w:t>
            </w:r>
          </w:p>
          <w:p w14:paraId="47C71EBD" w14:textId="1027696B" w:rsidR="002346AC" w:rsidRDefault="00251E64">
            <w:pPr>
              <w:spacing w:after="15"/>
              <w:jc w:val="right"/>
            </w:pPr>
            <w:r>
              <w:rPr>
                <w:b/>
                <w:bCs/>
                <w:color w:val="FFFFFF"/>
                <w:sz w:val="20"/>
                <w:szCs w:val="20"/>
              </w:rPr>
              <w:t>Ju</w:t>
            </w:r>
            <w:r w:rsidR="003E1BCC">
              <w:rPr>
                <w:b/>
                <w:bCs/>
                <w:color w:val="FFFFFF"/>
                <w:sz w:val="20"/>
                <w:szCs w:val="20"/>
              </w:rPr>
              <w:t>ly</w:t>
            </w:r>
            <w:r w:rsidR="00E47EA6">
              <w:rPr>
                <w:b/>
                <w:bCs/>
                <w:color w:val="FFFFFF"/>
                <w:sz w:val="20"/>
                <w:szCs w:val="20"/>
              </w:rPr>
              <w:t xml:space="preserve"> 2026</w:t>
            </w:r>
          </w:p>
          <w:p w14:paraId="3CF32335" w14:textId="6CB3884B" w:rsidR="002346AC" w:rsidRDefault="00000000">
            <w:pPr>
              <w:spacing w:after="30"/>
              <w:jc w:val="right"/>
            </w:pPr>
            <w:r w:rsidRPr="008C5989">
              <w:rPr>
                <w:color w:val="F5F4EC"/>
                <w:sz w:val="13"/>
                <w:szCs w:val="13"/>
              </w:rPr>
              <w:t>As on 3</w:t>
            </w:r>
            <w:r w:rsidR="003E1BCC">
              <w:rPr>
                <w:color w:val="F5F4EC"/>
                <w:sz w:val="13"/>
                <w:szCs w:val="13"/>
              </w:rPr>
              <w:t>1st</w:t>
            </w:r>
            <w:r w:rsidRPr="008C5989">
              <w:rPr>
                <w:color w:val="F5F4EC"/>
                <w:sz w:val="13"/>
                <w:szCs w:val="13"/>
              </w:rPr>
              <w:t xml:space="preserve"> </w:t>
            </w:r>
            <w:r w:rsidR="00D649E5">
              <w:rPr>
                <w:color w:val="F5F4EC"/>
                <w:sz w:val="13"/>
                <w:szCs w:val="13"/>
              </w:rPr>
              <w:t>Ju</w:t>
            </w:r>
            <w:r w:rsidR="003E1BCC">
              <w:rPr>
                <w:color w:val="F5F4EC"/>
                <w:sz w:val="13"/>
                <w:szCs w:val="13"/>
              </w:rPr>
              <w:t>ly</w:t>
            </w:r>
            <w:r w:rsidRPr="008C5989">
              <w:rPr>
                <w:color w:val="F5F4EC"/>
                <w:sz w:val="13"/>
                <w:szCs w:val="13"/>
              </w:rPr>
              <w:t xml:space="preserve"> 2026</w:t>
            </w:r>
          </w:p>
        </w:tc>
      </w:tr>
      <w:tr w:rsidR="002346AC" w14:paraId="0C5A7552" w14:textId="77777777" w:rsidTr="004441EB">
        <w:trPr>
          <w:trHeight w:hRule="exact" w:val="61"/>
        </w:trPr>
        <w:tc>
          <w:tcPr>
            <w:tcW w:w="10396" w:type="dxa"/>
            <w:gridSpan w:val="2"/>
            <w:tcBorders>
              <w:top w:val="none" w:sz="0" w:space="0" w:color="FFFFFF"/>
              <w:left w:val="none" w:sz="0" w:space="0" w:color="FFFFFF"/>
              <w:bottom w:val="none" w:sz="0" w:space="0" w:color="FFFFFF"/>
              <w:right w:val="none" w:sz="0" w:space="0" w:color="FFFFFF"/>
            </w:tcBorders>
            <w:shd w:val="clear" w:color="auto" w:fill="CCB280"/>
            <w:tcMar>
              <w:top w:w="0" w:type="dxa"/>
              <w:left w:w="0" w:type="dxa"/>
              <w:bottom w:w="0" w:type="dxa"/>
              <w:right w:w="0" w:type="dxa"/>
            </w:tcMar>
            <w:vAlign w:val="center"/>
          </w:tcPr>
          <w:p w14:paraId="022CD0FF" w14:textId="77777777" w:rsidR="002346AC" w:rsidRDefault="002346AC">
            <w:pPr>
              <w:spacing w:after="30"/>
            </w:pPr>
          </w:p>
        </w:tc>
      </w:tr>
    </w:tbl>
    <w:p w14:paraId="0553847D" w14:textId="77777777" w:rsidR="002346AC" w:rsidRDefault="002346AC"/>
    <w:tbl>
      <w:tblPr>
        <w:tblW w:w="10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09"/>
      </w:tblGrid>
      <w:tr w:rsidR="002346AC" w14:paraId="260C9420" w14:textId="77777777" w:rsidTr="004441EB">
        <w:trPr>
          <w:trHeight w:val="1132"/>
        </w:trPr>
        <w:tc>
          <w:tcPr>
            <w:tcW w:w="10409" w:type="dxa"/>
            <w:tcBorders>
              <w:top w:val="none" w:sz="0" w:space="0" w:color="FFFFFF"/>
              <w:left w:val="single" w:sz="10" w:space="0" w:color="C8960C"/>
              <w:bottom w:val="none" w:sz="0" w:space="0" w:color="FFFFFF"/>
              <w:right w:val="none" w:sz="0" w:space="0" w:color="FFFFFF"/>
            </w:tcBorders>
            <w:shd w:val="clear" w:color="auto" w:fill="F5F4EC"/>
            <w:tcMar>
              <w:top w:w="95" w:type="dxa"/>
              <w:left w:w="230" w:type="dxa"/>
              <w:bottom w:w="95" w:type="dxa"/>
              <w:right w:w="230" w:type="dxa"/>
            </w:tcMar>
            <w:vAlign w:val="center"/>
          </w:tcPr>
          <w:p w14:paraId="700E74A2" w14:textId="09017519" w:rsidR="002346AC" w:rsidRDefault="00525D09">
            <w:pPr>
              <w:spacing w:before="30" w:after="25"/>
            </w:pPr>
            <w:r>
              <w:rPr>
                <w:b/>
                <w:bCs/>
                <w:color w:val="006969"/>
                <w:sz w:val="26"/>
                <w:szCs w:val="26"/>
              </w:rPr>
              <w:t xml:space="preserve">About the Scheme: </w:t>
            </w:r>
          </w:p>
          <w:p w14:paraId="759D5580" w14:textId="77777777" w:rsidR="002346AC" w:rsidRPr="004441EB" w:rsidRDefault="00000000">
            <w:pPr>
              <w:spacing w:after="35"/>
              <w:rPr>
                <w:sz w:val="16"/>
                <w:szCs w:val="16"/>
              </w:rPr>
            </w:pPr>
            <w:r w:rsidRPr="004441EB">
              <w:rPr>
                <w:i/>
                <w:iCs/>
                <w:color w:val="666666"/>
                <w:sz w:val="16"/>
                <w:szCs w:val="16"/>
              </w:rPr>
              <w:t>Multi-Asset Strategic Allocation  •  Direct Plan Mutual Fund PMS  •  Inception 07 April 2026</w:t>
            </w:r>
          </w:p>
          <w:p w14:paraId="2FE602F7" w14:textId="0AD8610B" w:rsidR="002346AC" w:rsidRDefault="00000000">
            <w:pPr>
              <w:spacing w:after="30"/>
            </w:pPr>
            <w:r w:rsidRPr="004441EB">
              <w:rPr>
                <w:b/>
                <w:bCs/>
                <w:color w:val="8F7F52"/>
                <w:sz w:val="16"/>
                <w:szCs w:val="16"/>
              </w:rPr>
              <w:t xml:space="preserve">INVESTMENT APPROACH:  </w:t>
            </w:r>
            <w:r w:rsidRPr="004441EB">
              <w:rPr>
                <w:sz w:val="16"/>
                <w:szCs w:val="16"/>
              </w:rPr>
              <w:t>Strategic multi-asset allocation across Indian equity, international equity, debt, gold and arbitrage  ▸  Direct-plan-only universe — preserves every bps of return  ▸  Diversified across market caps and themes: small</w:t>
            </w:r>
            <w:r w:rsidR="00A9127A">
              <w:rPr>
                <w:sz w:val="16"/>
                <w:szCs w:val="16"/>
              </w:rPr>
              <w:t>-</w:t>
            </w:r>
            <w:r w:rsidRPr="004441EB">
              <w:rPr>
                <w:sz w:val="16"/>
                <w:szCs w:val="16"/>
              </w:rPr>
              <w:t>cap alpha, thematic equity, defence and focused large-cap  ▸  Quarterly rebalancing anchored to a defined benchmark for measurable accountability.</w:t>
            </w:r>
          </w:p>
        </w:tc>
      </w:tr>
    </w:tbl>
    <w:p w14:paraId="4B9B53A9" w14:textId="77777777" w:rsidR="002346AC" w:rsidRDefault="002346AC"/>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70"/>
        <w:gridCol w:w="3470"/>
        <w:gridCol w:w="3470"/>
      </w:tblGrid>
      <w:tr w:rsidR="002A146E" w14:paraId="214D6FB0" w14:textId="77777777" w:rsidTr="002A146E">
        <w:trPr>
          <w:trHeight w:val="621"/>
        </w:trPr>
        <w:tc>
          <w:tcPr>
            <w:tcW w:w="3470" w:type="dxa"/>
            <w:tcBorders>
              <w:top w:val="none" w:sz="0" w:space="0" w:color="FFFFFF"/>
              <w:left w:val="none" w:sz="0" w:space="0" w:color="FFFFFF"/>
              <w:bottom w:val="none" w:sz="0" w:space="0" w:color="FFFFFF"/>
              <w:right w:val="none" w:sz="0" w:space="0" w:color="FFFFFF"/>
            </w:tcBorders>
            <w:shd w:val="clear" w:color="auto" w:fill="006969"/>
            <w:tcMar>
              <w:top w:w="100" w:type="dxa"/>
              <w:left w:w="60" w:type="dxa"/>
              <w:bottom w:w="100" w:type="dxa"/>
              <w:right w:w="60" w:type="dxa"/>
            </w:tcMar>
            <w:vAlign w:val="center"/>
          </w:tcPr>
          <w:p w14:paraId="60052129" w14:textId="77777777" w:rsidR="002A146E" w:rsidRDefault="002A146E" w:rsidP="002A146E">
            <w:pPr>
              <w:spacing w:after="25"/>
              <w:jc w:val="center"/>
            </w:pPr>
            <w:r>
              <w:rPr>
                <w:b/>
                <w:bCs/>
                <w:color w:val="F5F4EC"/>
                <w:sz w:val="11"/>
                <w:szCs w:val="11"/>
              </w:rPr>
              <w:t>INCEPTION</w:t>
            </w:r>
          </w:p>
          <w:p w14:paraId="7BF117EA" w14:textId="5DE9C3D8" w:rsidR="002A146E" w:rsidRDefault="002A146E" w:rsidP="00640080">
            <w:pPr>
              <w:spacing w:after="15"/>
              <w:jc w:val="center"/>
            </w:pPr>
            <w:r>
              <w:rPr>
                <w:b/>
                <w:bCs/>
                <w:color w:val="FFFFFF"/>
                <w:sz w:val="20"/>
                <w:szCs w:val="20"/>
              </w:rPr>
              <w:t>07 Apr 2026</w:t>
            </w:r>
          </w:p>
        </w:tc>
        <w:tc>
          <w:tcPr>
            <w:tcW w:w="3470" w:type="dxa"/>
            <w:tcBorders>
              <w:top w:val="none" w:sz="0" w:space="0" w:color="FFFFFF"/>
              <w:left w:val="none" w:sz="0" w:space="0" w:color="FFFFFF"/>
              <w:bottom w:val="none" w:sz="0" w:space="0" w:color="FFFFFF"/>
              <w:right w:val="none" w:sz="0" w:space="0" w:color="FFFFFF"/>
            </w:tcBorders>
            <w:shd w:val="clear" w:color="auto" w:fill="003D3D"/>
            <w:tcMar>
              <w:top w:w="100" w:type="dxa"/>
              <w:left w:w="60" w:type="dxa"/>
              <w:bottom w:w="100" w:type="dxa"/>
              <w:right w:w="60" w:type="dxa"/>
            </w:tcMar>
            <w:vAlign w:val="center"/>
          </w:tcPr>
          <w:p w14:paraId="60382DBA" w14:textId="77777777" w:rsidR="002A146E" w:rsidRDefault="002A146E" w:rsidP="002A146E">
            <w:pPr>
              <w:spacing w:after="25"/>
              <w:jc w:val="center"/>
            </w:pPr>
            <w:r>
              <w:rPr>
                <w:b/>
                <w:bCs/>
                <w:color w:val="F5F4EC"/>
                <w:sz w:val="11"/>
                <w:szCs w:val="11"/>
              </w:rPr>
              <w:t>BENCHMARK</w:t>
            </w:r>
          </w:p>
          <w:p w14:paraId="663F1D0C" w14:textId="2B0FAC81" w:rsidR="002A146E" w:rsidRDefault="002A146E" w:rsidP="002A146E">
            <w:pPr>
              <w:spacing w:after="15"/>
              <w:jc w:val="center"/>
            </w:pPr>
            <w:r>
              <w:rPr>
                <w:b/>
                <w:bCs/>
                <w:color w:val="FFFFFF"/>
                <w:sz w:val="26"/>
                <w:szCs w:val="26"/>
              </w:rPr>
              <w:t>+</w:t>
            </w:r>
            <w:r w:rsidR="00923AD3">
              <w:rPr>
                <w:b/>
                <w:bCs/>
                <w:color w:val="FFFFFF"/>
                <w:sz w:val="26"/>
                <w:szCs w:val="26"/>
              </w:rPr>
              <w:t>4.84</w:t>
            </w:r>
            <w:r>
              <w:rPr>
                <w:b/>
                <w:bCs/>
                <w:color w:val="FFFFFF"/>
                <w:sz w:val="26"/>
                <w:szCs w:val="26"/>
              </w:rPr>
              <w:t>%</w:t>
            </w:r>
          </w:p>
          <w:p w14:paraId="09ED9800" w14:textId="1E4A4574" w:rsidR="002A146E" w:rsidRDefault="002A146E" w:rsidP="002A146E">
            <w:pPr>
              <w:spacing w:after="30"/>
              <w:jc w:val="center"/>
            </w:pPr>
            <w:r w:rsidRPr="008A0FDC">
              <w:rPr>
                <w:i/>
                <w:iCs/>
                <w:color w:val="F5F4EC"/>
                <w:sz w:val="12"/>
                <w:szCs w:val="12"/>
              </w:rPr>
              <w:t>Nifty 50 Hyb</w:t>
            </w:r>
            <w:r>
              <w:rPr>
                <w:i/>
                <w:iCs/>
                <w:color w:val="F5F4EC"/>
                <w:sz w:val="12"/>
                <w:szCs w:val="12"/>
              </w:rPr>
              <w:t>rid composite debt</w:t>
            </w:r>
            <w:r w:rsidRPr="008A0FDC">
              <w:rPr>
                <w:i/>
                <w:iCs/>
                <w:color w:val="F5F4EC"/>
                <w:sz w:val="12"/>
                <w:szCs w:val="12"/>
              </w:rPr>
              <w:t xml:space="preserve"> 50:50</w:t>
            </w:r>
          </w:p>
        </w:tc>
        <w:tc>
          <w:tcPr>
            <w:tcW w:w="3470" w:type="dxa"/>
            <w:tcBorders>
              <w:top w:val="none" w:sz="0" w:space="0" w:color="FFFFFF"/>
              <w:left w:val="none" w:sz="0" w:space="0" w:color="FFFFFF"/>
              <w:bottom w:val="none" w:sz="0" w:space="0" w:color="FFFFFF"/>
              <w:right w:val="none" w:sz="0" w:space="0" w:color="FFFFFF"/>
            </w:tcBorders>
            <w:shd w:val="clear" w:color="auto" w:fill="F5F4EC"/>
            <w:tcMar>
              <w:top w:w="100" w:type="dxa"/>
              <w:left w:w="60" w:type="dxa"/>
              <w:bottom w:w="100" w:type="dxa"/>
              <w:right w:w="60" w:type="dxa"/>
            </w:tcMar>
            <w:vAlign w:val="center"/>
          </w:tcPr>
          <w:p w14:paraId="2E19AB0D" w14:textId="1D6B9F12" w:rsidR="002A146E" w:rsidRPr="002A146E" w:rsidRDefault="00C17A3C" w:rsidP="002A146E">
            <w:pPr>
              <w:spacing w:after="30"/>
              <w:jc w:val="center"/>
            </w:pPr>
            <w:r>
              <w:rPr>
                <w:b/>
                <w:bCs/>
              </w:rPr>
              <w:t xml:space="preserve">PORTFOLIO </w:t>
            </w:r>
            <w:r w:rsidR="002A146E" w:rsidRPr="002A146E">
              <w:rPr>
                <w:b/>
                <w:bCs/>
              </w:rPr>
              <w:t>SINCE INCEPTION</w:t>
            </w:r>
          </w:p>
          <w:p w14:paraId="29C3CE57" w14:textId="47B98852" w:rsidR="002A146E" w:rsidRPr="002A146E" w:rsidRDefault="002A146E" w:rsidP="002A146E">
            <w:pPr>
              <w:spacing w:after="30"/>
              <w:jc w:val="center"/>
            </w:pPr>
            <w:r w:rsidRPr="002A146E">
              <w:rPr>
                <w:b/>
                <w:bCs/>
              </w:rPr>
              <w:t>+</w:t>
            </w:r>
            <w:r w:rsidR="00923AD3">
              <w:rPr>
                <w:b/>
                <w:bCs/>
              </w:rPr>
              <w:t>3.18</w:t>
            </w:r>
            <w:r w:rsidRPr="002A146E">
              <w:rPr>
                <w:b/>
                <w:bCs/>
              </w:rPr>
              <w:t>%</w:t>
            </w:r>
          </w:p>
          <w:p w14:paraId="47D3BED9" w14:textId="57CFB76C" w:rsidR="002A146E" w:rsidRDefault="002A146E" w:rsidP="002A146E">
            <w:pPr>
              <w:spacing w:after="30"/>
              <w:jc w:val="center"/>
            </w:pPr>
            <w:r w:rsidRPr="002A146E">
              <w:rPr>
                <w:i/>
                <w:iCs/>
              </w:rPr>
              <w:t>Strategy TWRR</w:t>
            </w:r>
          </w:p>
        </w:tc>
      </w:tr>
    </w:tbl>
    <w:p w14:paraId="32C27925" w14:textId="77777777" w:rsidR="002346AC" w:rsidRDefault="002346AC"/>
    <w:tbl>
      <w:tblPr>
        <w:tblW w:w="10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54"/>
      </w:tblGrid>
      <w:tr w:rsidR="002346AC" w14:paraId="61ECA0C4" w14:textId="77777777" w:rsidTr="004441EB">
        <w:trPr>
          <w:trHeight w:val="200"/>
        </w:trPr>
        <w:tc>
          <w:tcPr>
            <w:tcW w:w="10454" w:type="dxa"/>
            <w:tcBorders>
              <w:top w:val="none" w:sz="0" w:space="0" w:color="FFFFFF"/>
              <w:left w:val="single" w:sz="10" w:space="0" w:color="C8960C"/>
              <w:bottom w:val="none" w:sz="0" w:space="0" w:color="FFFFFF"/>
              <w:right w:val="none" w:sz="0" w:space="0" w:color="FFFFFF"/>
            </w:tcBorders>
            <w:shd w:val="clear" w:color="auto" w:fill="006969"/>
            <w:tcMar>
              <w:top w:w="75" w:type="dxa"/>
              <w:left w:w="180" w:type="dxa"/>
              <w:bottom w:w="75" w:type="dxa"/>
              <w:right w:w="180" w:type="dxa"/>
            </w:tcMar>
            <w:vAlign w:val="center"/>
          </w:tcPr>
          <w:p w14:paraId="69AE61D9" w14:textId="77777777" w:rsidR="002346AC" w:rsidRDefault="00000000">
            <w:r>
              <w:rPr>
                <w:b/>
                <w:bCs/>
                <w:color w:val="FFFFFF"/>
                <w:sz w:val="18"/>
                <w:szCs w:val="18"/>
              </w:rPr>
              <w:t>STRATEGY SNAPSHOT &amp; PERFORMANCE</w:t>
            </w:r>
            <w:r>
              <w:rPr>
                <w:i/>
                <w:iCs/>
                <w:color w:val="F5F4EC"/>
                <w:sz w:val="13"/>
                <w:szCs w:val="13"/>
              </w:rPr>
              <w:t xml:space="preserve">   </w:t>
            </w:r>
            <w:r w:rsidRPr="003B4419">
              <w:rPr>
                <w:i/>
                <w:iCs/>
                <w:color w:val="F5F4EC"/>
                <w:sz w:val="15"/>
                <w:szCs w:val="15"/>
              </w:rPr>
              <w:t>TWRR  •  Since Inception (07-Apr-2026)</w:t>
            </w:r>
          </w:p>
        </w:tc>
      </w:tr>
    </w:tbl>
    <w:p w14:paraId="4DE05E5D" w14:textId="77777777" w:rsidR="002346AC" w:rsidRDefault="002346AC"/>
    <w:tbl>
      <w:tblPr>
        <w:tblW w:w="9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81"/>
        <w:gridCol w:w="5393"/>
      </w:tblGrid>
      <w:tr w:rsidR="002346AC" w14:paraId="63BED181" w14:textId="77777777" w:rsidTr="004441EB">
        <w:trPr>
          <w:trHeight w:val="2595"/>
        </w:trPr>
        <w:tc>
          <w:tcPr>
            <w:tcW w:w="5081" w:type="dxa"/>
            <w:tcBorders>
              <w:top w:val="none" w:sz="0" w:space="0" w:color="FFFFFF"/>
              <w:left w:val="none" w:sz="0" w:space="0" w:color="FFFFFF"/>
              <w:bottom w:val="none" w:sz="0" w:space="0" w:color="FFFFFF"/>
              <w:right w:val="none" w:sz="0" w:space="0" w:color="FFFFFF"/>
            </w:tcBorders>
            <w:tcMar>
              <w:top w:w="30" w:type="dxa"/>
              <w:left w:w="0" w:type="dxa"/>
              <w:bottom w:w="30" w:type="dxa"/>
              <w:right w:w="100" w:type="dxa"/>
            </w:tcMar>
          </w:tcPr>
          <w:p w14:paraId="3390E37D" w14:textId="77777777" w:rsidR="002346AC" w:rsidRPr="00F67E3F" w:rsidRDefault="00000000">
            <w:pPr>
              <w:spacing w:after="60"/>
              <w:rPr>
                <w:sz w:val="16"/>
                <w:szCs w:val="16"/>
              </w:rPr>
            </w:pPr>
            <w:r w:rsidRPr="00F67E3F">
              <w:rPr>
                <w:b/>
                <w:bCs/>
                <w:color w:val="006969"/>
                <w:sz w:val="16"/>
                <w:szCs w:val="16"/>
              </w:rPr>
              <w:t>STRATEGY SNAPSHOT</w:t>
            </w:r>
          </w:p>
          <w:tbl>
            <w:tblPr>
              <w:tblW w:w="49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98"/>
              <w:gridCol w:w="2871"/>
            </w:tblGrid>
            <w:tr w:rsidR="002346AC" w:rsidRPr="00F67E3F" w14:paraId="7DCC28E0" w14:textId="77777777" w:rsidTr="004441EB">
              <w:trPr>
                <w:trHeight w:val="180"/>
              </w:trPr>
              <w:tc>
                <w:tcPr>
                  <w:tcW w:w="2098" w:type="dxa"/>
                  <w:tcBorders>
                    <w:top w:val="single" w:sz="4" w:space="0" w:color="C9D1DB"/>
                    <w:left w:val="single" w:sz="4" w:space="0" w:color="C9D1DB"/>
                    <w:bottom w:val="single" w:sz="4" w:space="0" w:color="C9D1DB"/>
                    <w:right w:val="single" w:sz="4" w:space="0" w:color="C9D1DB"/>
                  </w:tcBorders>
                  <w:shd w:val="clear" w:color="auto" w:fill="F5F4EC"/>
                  <w:tcMar>
                    <w:top w:w="38" w:type="dxa"/>
                    <w:left w:w="110" w:type="dxa"/>
                    <w:bottom w:w="38" w:type="dxa"/>
                    <w:right w:w="110" w:type="dxa"/>
                  </w:tcMar>
                  <w:vAlign w:val="center"/>
                </w:tcPr>
                <w:p w14:paraId="5873F3BF" w14:textId="77777777" w:rsidR="002346AC" w:rsidRPr="00F67E3F" w:rsidRDefault="00000000">
                  <w:pPr>
                    <w:rPr>
                      <w:sz w:val="16"/>
                      <w:szCs w:val="16"/>
                    </w:rPr>
                  </w:pPr>
                  <w:r w:rsidRPr="00F67E3F">
                    <w:rPr>
                      <w:b/>
                      <w:bCs/>
                      <w:color w:val="006969"/>
                      <w:sz w:val="16"/>
                      <w:szCs w:val="16"/>
                    </w:rPr>
                    <w:t>Portfolio Manager</w:t>
                  </w:r>
                </w:p>
              </w:tc>
              <w:tc>
                <w:tcPr>
                  <w:tcW w:w="2871" w:type="dxa"/>
                  <w:tcBorders>
                    <w:top w:val="single" w:sz="4" w:space="0" w:color="C9D1DB"/>
                    <w:left w:val="single" w:sz="4" w:space="0" w:color="C9D1DB"/>
                    <w:bottom w:val="single" w:sz="4" w:space="0" w:color="C9D1DB"/>
                    <w:right w:val="single" w:sz="4" w:space="0" w:color="C9D1DB"/>
                  </w:tcBorders>
                  <w:shd w:val="clear" w:color="auto" w:fill="F5F4EC"/>
                  <w:tcMar>
                    <w:top w:w="38" w:type="dxa"/>
                    <w:left w:w="110" w:type="dxa"/>
                    <w:bottom w:w="38" w:type="dxa"/>
                    <w:right w:w="110" w:type="dxa"/>
                  </w:tcMar>
                  <w:vAlign w:val="center"/>
                </w:tcPr>
                <w:p w14:paraId="735ACF35" w14:textId="77777777" w:rsidR="002346AC" w:rsidRPr="00F67E3F" w:rsidRDefault="00000000">
                  <w:pPr>
                    <w:rPr>
                      <w:sz w:val="16"/>
                      <w:szCs w:val="16"/>
                    </w:rPr>
                  </w:pPr>
                  <w:r w:rsidRPr="00F67E3F">
                    <w:rPr>
                      <w:sz w:val="16"/>
                      <w:szCs w:val="16"/>
                    </w:rPr>
                    <w:t>AMPL Asset Management</w:t>
                  </w:r>
                </w:p>
              </w:tc>
            </w:tr>
            <w:tr w:rsidR="002346AC" w:rsidRPr="00F67E3F" w14:paraId="6F3A897F" w14:textId="77777777" w:rsidTr="004441EB">
              <w:trPr>
                <w:trHeight w:val="180"/>
              </w:trPr>
              <w:tc>
                <w:tcPr>
                  <w:tcW w:w="2098" w:type="dxa"/>
                  <w:tcBorders>
                    <w:top w:val="single" w:sz="4" w:space="0" w:color="C9D1DB"/>
                    <w:left w:val="single" w:sz="4" w:space="0" w:color="C9D1DB"/>
                    <w:bottom w:val="single" w:sz="4" w:space="0" w:color="C9D1DB"/>
                    <w:right w:val="single" w:sz="4" w:space="0" w:color="C9D1DB"/>
                  </w:tcBorders>
                  <w:shd w:val="clear" w:color="auto" w:fill="FFFFFF"/>
                  <w:tcMar>
                    <w:top w:w="38" w:type="dxa"/>
                    <w:left w:w="110" w:type="dxa"/>
                    <w:bottom w:w="38" w:type="dxa"/>
                    <w:right w:w="110" w:type="dxa"/>
                  </w:tcMar>
                  <w:vAlign w:val="center"/>
                </w:tcPr>
                <w:p w14:paraId="1C4906B3" w14:textId="77777777" w:rsidR="002346AC" w:rsidRPr="00F67E3F" w:rsidRDefault="00000000">
                  <w:pPr>
                    <w:rPr>
                      <w:sz w:val="16"/>
                      <w:szCs w:val="16"/>
                    </w:rPr>
                  </w:pPr>
                  <w:r w:rsidRPr="00F67E3F">
                    <w:rPr>
                      <w:b/>
                      <w:bCs/>
                      <w:color w:val="006969"/>
                      <w:sz w:val="16"/>
                      <w:szCs w:val="16"/>
                    </w:rPr>
                    <w:t>SEBI PMS Reg. No.</w:t>
                  </w:r>
                </w:p>
              </w:tc>
              <w:tc>
                <w:tcPr>
                  <w:tcW w:w="2871" w:type="dxa"/>
                  <w:tcBorders>
                    <w:top w:val="single" w:sz="4" w:space="0" w:color="C9D1DB"/>
                    <w:left w:val="single" w:sz="4" w:space="0" w:color="C9D1DB"/>
                    <w:bottom w:val="single" w:sz="4" w:space="0" w:color="C9D1DB"/>
                    <w:right w:val="single" w:sz="4" w:space="0" w:color="C9D1DB"/>
                  </w:tcBorders>
                  <w:shd w:val="clear" w:color="auto" w:fill="FFFFFF"/>
                  <w:tcMar>
                    <w:top w:w="38" w:type="dxa"/>
                    <w:left w:w="110" w:type="dxa"/>
                    <w:bottom w:w="38" w:type="dxa"/>
                    <w:right w:w="110" w:type="dxa"/>
                  </w:tcMar>
                  <w:vAlign w:val="center"/>
                </w:tcPr>
                <w:p w14:paraId="3892B51A" w14:textId="77777777" w:rsidR="002346AC" w:rsidRPr="00F67E3F" w:rsidRDefault="00000000">
                  <w:pPr>
                    <w:rPr>
                      <w:sz w:val="16"/>
                      <w:szCs w:val="16"/>
                    </w:rPr>
                  </w:pPr>
                  <w:r w:rsidRPr="00F67E3F">
                    <w:rPr>
                      <w:sz w:val="16"/>
                      <w:szCs w:val="16"/>
                    </w:rPr>
                    <w:t>INP000006101</w:t>
                  </w:r>
                </w:p>
              </w:tc>
            </w:tr>
            <w:tr w:rsidR="002346AC" w:rsidRPr="00F67E3F" w14:paraId="74632DD6" w14:textId="77777777" w:rsidTr="004441EB">
              <w:trPr>
                <w:trHeight w:val="180"/>
              </w:trPr>
              <w:tc>
                <w:tcPr>
                  <w:tcW w:w="2098" w:type="dxa"/>
                  <w:tcBorders>
                    <w:top w:val="single" w:sz="4" w:space="0" w:color="C9D1DB"/>
                    <w:left w:val="single" w:sz="4" w:space="0" w:color="C9D1DB"/>
                    <w:bottom w:val="single" w:sz="4" w:space="0" w:color="C9D1DB"/>
                    <w:right w:val="single" w:sz="4" w:space="0" w:color="C9D1DB"/>
                  </w:tcBorders>
                  <w:shd w:val="clear" w:color="auto" w:fill="F5F4EC"/>
                  <w:tcMar>
                    <w:top w:w="38" w:type="dxa"/>
                    <w:left w:w="110" w:type="dxa"/>
                    <w:bottom w:w="38" w:type="dxa"/>
                    <w:right w:w="110" w:type="dxa"/>
                  </w:tcMar>
                  <w:vAlign w:val="center"/>
                </w:tcPr>
                <w:p w14:paraId="33B9D249" w14:textId="77777777" w:rsidR="002346AC" w:rsidRPr="00F67E3F" w:rsidRDefault="00000000">
                  <w:pPr>
                    <w:rPr>
                      <w:sz w:val="16"/>
                      <w:szCs w:val="16"/>
                    </w:rPr>
                  </w:pPr>
                  <w:r w:rsidRPr="00F67E3F">
                    <w:rPr>
                      <w:b/>
                      <w:bCs/>
                      <w:color w:val="006969"/>
                      <w:sz w:val="16"/>
                      <w:szCs w:val="16"/>
                    </w:rPr>
                    <w:t>Strategy Type</w:t>
                  </w:r>
                </w:p>
              </w:tc>
              <w:tc>
                <w:tcPr>
                  <w:tcW w:w="2871" w:type="dxa"/>
                  <w:tcBorders>
                    <w:top w:val="single" w:sz="4" w:space="0" w:color="C9D1DB"/>
                    <w:left w:val="single" w:sz="4" w:space="0" w:color="C9D1DB"/>
                    <w:bottom w:val="single" w:sz="4" w:space="0" w:color="C9D1DB"/>
                    <w:right w:val="single" w:sz="4" w:space="0" w:color="C9D1DB"/>
                  </w:tcBorders>
                  <w:shd w:val="clear" w:color="auto" w:fill="F5F4EC"/>
                  <w:tcMar>
                    <w:top w:w="38" w:type="dxa"/>
                    <w:left w:w="110" w:type="dxa"/>
                    <w:bottom w:w="38" w:type="dxa"/>
                    <w:right w:w="110" w:type="dxa"/>
                  </w:tcMar>
                  <w:vAlign w:val="center"/>
                </w:tcPr>
                <w:p w14:paraId="7AC50BD0" w14:textId="77777777" w:rsidR="002346AC" w:rsidRPr="00F67E3F" w:rsidRDefault="00000000">
                  <w:pPr>
                    <w:rPr>
                      <w:sz w:val="16"/>
                      <w:szCs w:val="16"/>
                    </w:rPr>
                  </w:pPr>
                  <w:r w:rsidRPr="00F67E3F">
                    <w:rPr>
                      <w:sz w:val="16"/>
                      <w:szCs w:val="16"/>
                    </w:rPr>
                    <w:t>Multi-Asset MF Portfolio</w:t>
                  </w:r>
                </w:p>
              </w:tc>
            </w:tr>
            <w:tr w:rsidR="002346AC" w:rsidRPr="00F67E3F" w14:paraId="0C4DE99E" w14:textId="77777777" w:rsidTr="004441EB">
              <w:trPr>
                <w:trHeight w:val="180"/>
              </w:trPr>
              <w:tc>
                <w:tcPr>
                  <w:tcW w:w="2098" w:type="dxa"/>
                  <w:tcBorders>
                    <w:top w:val="single" w:sz="4" w:space="0" w:color="C9D1DB"/>
                    <w:left w:val="single" w:sz="4" w:space="0" w:color="C9D1DB"/>
                    <w:bottom w:val="single" w:sz="4" w:space="0" w:color="C9D1DB"/>
                    <w:right w:val="single" w:sz="4" w:space="0" w:color="C9D1DB"/>
                  </w:tcBorders>
                  <w:shd w:val="clear" w:color="auto" w:fill="FFFFFF"/>
                  <w:tcMar>
                    <w:top w:w="38" w:type="dxa"/>
                    <w:left w:w="110" w:type="dxa"/>
                    <w:bottom w:w="38" w:type="dxa"/>
                    <w:right w:w="110" w:type="dxa"/>
                  </w:tcMar>
                  <w:vAlign w:val="center"/>
                </w:tcPr>
                <w:p w14:paraId="1BE24D93" w14:textId="77777777" w:rsidR="002346AC" w:rsidRPr="00F67E3F" w:rsidRDefault="00000000">
                  <w:pPr>
                    <w:rPr>
                      <w:sz w:val="16"/>
                      <w:szCs w:val="16"/>
                    </w:rPr>
                  </w:pPr>
                  <w:r w:rsidRPr="00F67E3F">
                    <w:rPr>
                      <w:b/>
                      <w:bCs/>
                      <w:color w:val="006969"/>
                      <w:sz w:val="16"/>
                      <w:szCs w:val="16"/>
                    </w:rPr>
                    <w:t>Benchmark</w:t>
                  </w:r>
                </w:p>
              </w:tc>
              <w:tc>
                <w:tcPr>
                  <w:tcW w:w="2871" w:type="dxa"/>
                  <w:tcBorders>
                    <w:top w:val="single" w:sz="4" w:space="0" w:color="C9D1DB"/>
                    <w:left w:val="single" w:sz="4" w:space="0" w:color="C9D1DB"/>
                    <w:bottom w:val="single" w:sz="4" w:space="0" w:color="C9D1DB"/>
                    <w:right w:val="single" w:sz="4" w:space="0" w:color="C9D1DB"/>
                  </w:tcBorders>
                  <w:shd w:val="clear" w:color="auto" w:fill="FFFFFF"/>
                  <w:tcMar>
                    <w:top w:w="38" w:type="dxa"/>
                    <w:left w:w="110" w:type="dxa"/>
                    <w:bottom w:w="38" w:type="dxa"/>
                    <w:right w:w="110" w:type="dxa"/>
                  </w:tcMar>
                  <w:vAlign w:val="center"/>
                </w:tcPr>
                <w:p w14:paraId="53C6CA5B" w14:textId="4B698A64" w:rsidR="002346AC" w:rsidRPr="00F67E3F" w:rsidRDefault="00000000">
                  <w:pPr>
                    <w:rPr>
                      <w:sz w:val="16"/>
                      <w:szCs w:val="16"/>
                    </w:rPr>
                  </w:pPr>
                  <w:r w:rsidRPr="00F67E3F">
                    <w:rPr>
                      <w:sz w:val="16"/>
                      <w:szCs w:val="16"/>
                    </w:rPr>
                    <w:t>Nifty 50 Hyb</w:t>
                  </w:r>
                  <w:r w:rsidR="00420A30">
                    <w:rPr>
                      <w:sz w:val="16"/>
                      <w:szCs w:val="16"/>
                    </w:rPr>
                    <w:t>rid</w:t>
                  </w:r>
                  <w:r w:rsidRPr="00F67E3F">
                    <w:rPr>
                      <w:sz w:val="16"/>
                      <w:szCs w:val="16"/>
                    </w:rPr>
                    <w:t xml:space="preserve"> Comp</w:t>
                  </w:r>
                  <w:r w:rsidR="002F6C34">
                    <w:rPr>
                      <w:sz w:val="16"/>
                      <w:szCs w:val="16"/>
                    </w:rPr>
                    <w:t>osite</w:t>
                  </w:r>
                  <w:r w:rsidRPr="00F67E3F">
                    <w:rPr>
                      <w:sz w:val="16"/>
                      <w:szCs w:val="16"/>
                    </w:rPr>
                    <w:t xml:space="preserve"> Debt 50:50</w:t>
                  </w:r>
                </w:p>
              </w:tc>
            </w:tr>
            <w:tr w:rsidR="002346AC" w:rsidRPr="00F67E3F" w14:paraId="41091317" w14:textId="77777777" w:rsidTr="004441EB">
              <w:trPr>
                <w:trHeight w:val="180"/>
              </w:trPr>
              <w:tc>
                <w:tcPr>
                  <w:tcW w:w="2098" w:type="dxa"/>
                  <w:tcBorders>
                    <w:top w:val="single" w:sz="4" w:space="0" w:color="C9D1DB"/>
                    <w:left w:val="single" w:sz="4" w:space="0" w:color="C9D1DB"/>
                    <w:bottom w:val="single" w:sz="4" w:space="0" w:color="C9D1DB"/>
                    <w:right w:val="single" w:sz="4" w:space="0" w:color="C9D1DB"/>
                  </w:tcBorders>
                  <w:shd w:val="clear" w:color="auto" w:fill="F5F4EC"/>
                  <w:tcMar>
                    <w:top w:w="38" w:type="dxa"/>
                    <w:left w:w="110" w:type="dxa"/>
                    <w:bottom w:w="38" w:type="dxa"/>
                    <w:right w:w="110" w:type="dxa"/>
                  </w:tcMar>
                  <w:vAlign w:val="center"/>
                </w:tcPr>
                <w:p w14:paraId="2407FCBC" w14:textId="77777777" w:rsidR="002346AC" w:rsidRPr="00F67E3F" w:rsidRDefault="00000000">
                  <w:pPr>
                    <w:rPr>
                      <w:sz w:val="16"/>
                      <w:szCs w:val="16"/>
                    </w:rPr>
                  </w:pPr>
                  <w:r w:rsidRPr="00F67E3F">
                    <w:rPr>
                      <w:b/>
                      <w:bCs/>
                      <w:color w:val="006969"/>
                      <w:sz w:val="16"/>
                      <w:szCs w:val="16"/>
                    </w:rPr>
                    <w:t>Investment Universe</w:t>
                  </w:r>
                </w:p>
              </w:tc>
              <w:tc>
                <w:tcPr>
                  <w:tcW w:w="2871" w:type="dxa"/>
                  <w:tcBorders>
                    <w:top w:val="single" w:sz="4" w:space="0" w:color="C9D1DB"/>
                    <w:left w:val="single" w:sz="4" w:space="0" w:color="C9D1DB"/>
                    <w:bottom w:val="single" w:sz="4" w:space="0" w:color="C9D1DB"/>
                    <w:right w:val="single" w:sz="4" w:space="0" w:color="C9D1DB"/>
                  </w:tcBorders>
                  <w:shd w:val="clear" w:color="auto" w:fill="F5F4EC"/>
                  <w:tcMar>
                    <w:top w:w="38" w:type="dxa"/>
                    <w:left w:w="110" w:type="dxa"/>
                    <w:bottom w:w="38" w:type="dxa"/>
                    <w:right w:w="110" w:type="dxa"/>
                  </w:tcMar>
                  <w:vAlign w:val="center"/>
                </w:tcPr>
                <w:p w14:paraId="617783D3" w14:textId="77777777" w:rsidR="002346AC" w:rsidRPr="00F67E3F" w:rsidRDefault="00000000">
                  <w:pPr>
                    <w:rPr>
                      <w:sz w:val="16"/>
                      <w:szCs w:val="16"/>
                    </w:rPr>
                  </w:pPr>
                  <w:r w:rsidRPr="00F67E3F">
                    <w:rPr>
                      <w:sz w:val="16"/>
                      <w:szCs w:val="16"/>
                    </w:rPr>
                    <w:t>Direct Plan Mutual Funds</w:t>
                  </w:r>
                </w:p>
              </w:tc>
            </w:tr>
            <w:tr w:rsidR="002346AC" w:rsidRPr="00F67E3F" w14:paraId="7A9E02CA" w14:textId="77777777" w:rsidTr="004441EB">
              <w:trPr>
                <w:trHeight w:val="180"/>
              </w:trPr>
              <w:tc>
                <w:tcPr>
                  <w:tcW w:w="2098" w:type="dxa"/>
                  <w:tcBorders>
                    <w:top w:val="single" w:sz="4" w:space="0" w:color="C9D1DB"/>
                    <w:left w:val="single" w:sz="4" w:space="0" w:color="C9D1DB"/>
                    <w:bottom w:val="single" w:sz="4" w:space="0" w:color="C9D1DB"/>
                    <w:right w:val="single" w:sz="4" w:space="0" w:color="C9D1DB"/>
                  </w:tcBorders>
                  <w:shd w:val="clear" w:color="auto" w:fill="FFFFFF"/>
                  <w:tcMar>
                    <w:top w:w="38" w:type="dxa"/>
                    <w:left w:w="110" w:type="dxa"/>
                    <w:bottom w:w="38" w:type="dxa"/>
                    <w:right w:w="110" w:type="dxa"/>
                  </w:tcMar>
                  <w:vAlign w:val="center"/>
                </w:tcPr>
                <w:p w14:paraId="142E203E" w14:textId="77777777" w:rsidR="002346AC" w:rsidRPr="00F67E3F" w:rsidRDefault="00000000">
                  <w:pPr>
                    <w:rPr>
                      <w:sz w:val="16"/>
                      <w:szCs w:val="16"/>
                    </w:rPr>
                  </w:pPr>
                  <w:r w:rsidRPr="00F67E3F">
                    <w:rPr>
                      <w:b/>
                      <w:bCs/>
                      <w:color w:val="006969"/>
                      <w:sz w:val="16"/>
                      <w:szCs w:val="16"/>
                    </w:rPr>
                    <w:t>Custodian / Fund A/c</w:t>
                  </w:r>
                </w:p>
              </w:tc>
              <w:tc>
                <w:tcPr>
                  <w:tcW w:w="2871" w:type="dxa"/>
                  <w:tcBorders>
                    <w:top w:val="single" w:sz="4" w:space="0" w:color="C9D1DB"/>
                    <w:left w:val="single" w:sz="4" w:space="0" w:color="C9D1DB"/>
                    <w:bottom w:val="single" w:sz="4" w:space="0" w:color="C9D1DB"/>
                    <w:right w:val="single" w:sz="4" w:space="0" w:color="C9D1DB"/>
                  </w:tcBorders>
                  <w:shd w:val="clear" w:color="auto" w:fill="FFFFFF"/>
                  <w:tcMar>
                    <w:top w:w="38" w:type="dxa"/>
                    <w:left w:w="110" w:type="dxa"/>
                    <w:bottom w:w="38" w:type="dxa"/>
                    <w:right w:w="110" w:type="dxa"/>
                  </w:tcMar>
                  <w:vAlign w:val="center"/>
                </w:tcPr>
                <w:p w14:paraId="4897978E" w14:textId="77777777" w:rsidR="002346AC" w:rsidRPr="00F67E3F" w:rsidRDefault="00000000">
                  <w:pPr>
                    <w:rPr>
                      <w:sz w:val="16"/>
                      <w:szCs w:val="16"/>
                    </w:rPr>
                  </w:pPr>
                  <w:proofErr w:type="spellStart"/>
                  <w:r w:rsidRPr="00F67E3F">
                    <w:rPr>
                      <w:sz w:val="16"/>
                      <w:szCs w:val="16"/>
                    </w:rPr>
                    <w:t>Nuvama</w:t>
                  </w:r>
                  <w:proofErr w:type="spellEnd"/>
                  <w:r w:rsidRPr="00F67E3F">
                    <w:rPr>
                      <w:sz w:val="16"/>
                      <w:szCs w:val="16"/>
                    </w:rPr>
                    <w:t xml:space="preserve"> Wealth</w:t>
                  </w:r>
                </w:p>
              </w:tc>
            </w:tr>
            <w:tr w:rsidR="002346AC" w:rsidRPr="00F67E3F" w14:paraId="6AA8D2D5" w14:textId="77777777" w:rsidTr="004441EB">
              <w:trPr>
                <w:trHeight w:val="180"/>
              </w:trPr>
              <w:tc>
                <w:tcPr>
                  <w:tcW w:w="2098" w:type="dxa"/>
                  <w:tcBorders>
                    <w:top w:val="single" w:sz="4" w:space="0" w:color="C9D1DB"/>
                    <w:left w:val="single" w:sz="4" w:space="0" w:color="C9D1DB"/>
                    <w:bottom w:val="single" w:sz="4" w:space="0" w:color="C9D1DB"/>
                    <w:right w:val="single" w:sz="4" w:space="0" w:color="C9D1DB"/>
                  </w:tcBorders>
                  <w:shd w:val="clear" w:color="auto" w:fill="F5F4EC"/>
                  <w:tcMar>
                    <w:top w:w="38" w:type="dxa"/>
                    <w:left w:w="110" w:type="dxa"/>
                    <w:bottom w:w="38" w:type="dxa"/>
                    <w:right w:w="110" w:type="dxa"/>
                  </w:tcMar>
                  <w:vAlign w:val="center"/>
                </w:tcPr>
                <w:p w14:paraId="1ADE0848" w14:textId="77777777" w:rsidR="002346AC" w:rsidRPr="00F67E3F" w:rsidRDefault="00000000">
                  <w:pPr>
                    <w:rPr>
                      <w:sz w:val="16"/>
                      <w:szCs w:val="16"/>
                    </w:rPr>
                  </w:pPr>
                  <w:r w:rsidRPr="00F67E3F">
                    <w:rPr>
                      <w:b/>
                      <w:bCs/>
                      <w:color w:val="006969"/>
                      <w:sz w:val="16"/>
                      <w:szCs w:val="16"/>
                    </w:rPr>
                    <w:t>Min. Investment</w:t>
                  </w:r>
                </w:p>
              </w:tc>
              <w:tc>
                <w:tcPr>
                  <w:tcW w:w="2871" w:type="dxa"/>
                  <w:tcBorders>
                    <w:top w:val="single" w:sz="4" w:space="0" w:color="C9D1DB"/>
                    <w:left w:val="single" w:sz="4" w:space="0" w:color="C9D1DB"/>
                    <w:bottom w:val="single" w:sz="4" w:space="0" w:color="C9D1DB"/>
                    <w:right w:val="single" w:sz="4" w:space="0" w:color="C9D1DB"/>
                  </w:tcBorders>
                  <w:shd w:val="clear" w:color="auto" w:fill="F5F4EC"/>
                  <w:tcMar>
                    <w:top w:w="38" w:type="dxa"/>
                    <w:left w:w="110" w:type="dxa"/>
                    <w:bottom w:w="38" w:type="dxa"/>
                    <w:right w:w="110" w:type="dxa"/>
                  </w:tcMar>
                  <w:vAlign w:val="center"/>
                </w:tcPr>
                <w:p w14:paraId="52F0603C" w14:textId="77777777" w:rsidR="002346AC" w:rsidRPr="00F67E3F" w:rsidRDefault="00000000">
                  <w:pPr>
                    <w:rPr>
                      <w:sz w:val="16"/>
                      <w:szCs w:val="16"/>
                    </w:rPr>
                  </w:pPr>
                  <w:r w:rsidRPr="00F67E3F">
                    <w:rPr>
                      <w:sz w:val="16"/>
                      <w:szCs w:val="16"/>
                    </w:rPr>
                    <w:t>₹ 50 Lakh</w:t>
                  </w:r>
                </w:p>
              </w:tc>
            </w:tr>
          </w:tbl>
          <w:p w14:paraId="09E632B9" w14:textId="77777777" w:rsidR="002346AC" w:rsidRDefault="002346AC"/>
        </w:tc>
        <w:tc>
          <w:tcPr>
            <w:tcW w:w="4865" w:type="dxa"/>
            <w:tcBorders>
              <w:top w:val="none" w:sz="0" w:space="0" w:color="FFFFFF"/>
              <w:left w:val="none" w:sz="0" w:space="0" w:color="FFFFFF"/>
              <w:bottom w:val="none" w:sz="0" w:space="0" w:color="FFFFFF"/>
              <w:right w:val="none" w:sz="0" w:space="0" w:color="FFFFFF"/>
            </w:tcBorders>
            <w:tcMar>
              <w:top w:w="30" w:type="dxa"/>
              <w:left w:w="100" w:type="dxa"/>
              <w:bottom w:w="30" w:type="dxa"/>
              <w:right w:w="0" w:type="dxa"/>
            </w:tcMar>
          </w:tcPr>
          <w:p w14:paraId="5F3489F2" w14:textId="77777777" w:rsidR="002346AC" w:rsidRPr="00F67E3F" w:rsidRDefault="00000000">
            <w:pPr>
              <w:spacing w:after="60"/>
              <w:rPr>
                <w:sz w:val="16"/>
                <w:szCs w:val="16"/>
              </w:rPr>
            </w:pPr>
            <w:r w:rsidRPr="00F67E3F">
              <w:rPr>
                <w:b/>
                <w:bCs/>
                <w:color w:val="006969"/>
                <w:sz w:val="16"/>
                <w:szCs w:val="16"/>
              </w:rPr>
              <w:t>PERFORMANCE (TWRR)</w:t>
            </w:r>
          </w:p>
          <w:tbl>
            <w:tblPr>
              <w:tblW w:w="528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18"/>
              <w:gridCol w:w="197"/>
              <w:gridCol w:w="1037"/>
              <w:gridCol w:w="1113"/>
              <w:gridCol w:w="1516"/>
            </w:tblGrid>
            <w:tr w:rsidR="00923AD3" w:rsidRPr="00F67E3F" w14:paraId="7D7CA29F" w14:textId="77777777" w:rsidTr="00923AD3">
              <w:trPr>
                <w:trHeight w:val="351"/>
                <w:tblHeader/>
              </w:trPr>
              <w:tc>
                <w:tcPr>
                  <w:tcW w:w="1615" w:type="dxa"/>
                  <w:gridSpan w:val="2"/>
                  <w:tcBorders>
                    <w:top w:val="single" w:sz="4" w:space="0" w:color="C9D1DB"/>
                    <w:left w:val="single" w:sz="4" w:space="0" w:color="C9D1DB"/>
                    <w:bottom w:val="single" w:sz="4" w:space="0" w:color="C9D1DB"/>
                    <w:right w:val="single" w:sz="4" w:space="0" w:color="C9D1DB"/>
                  </w:tcBorders>
                  <w:shd w:val="clear" w:color="auto" w:fill="006969"/>
                  <w:tcMar>
                    <w:top w:w="75" w:type="dxa"/>
                    <w:left w:w="140" w:type="dxa"/>
                    <w:bottom w:w="75" w:type="dxa"/>
                    <w:right w:w="140" w:type="dxa"/>
                  </w:tcMar>
                  <w:vAlign w:val="center"/>
                </w:tcPr>
                <w:p w14:paraId="7D9CDF3A" w14:textId="77777777" w:rsidR="00923AD3" w:rsidRPr="00F67E3F" w:rsidRDefault="00923AD3">
                  <w:pPr>
                    <w:rPr>
                      <w:sz w:val="16"/>
                      <w:szCs w:val="16"/>
                    </w:rPr>
                  </w:pPr>
                  <w:r w:rsidRPr="00F67E3F">
                    <w:rPr>
                      <w:b/>
                      <w:bCs/>
                      <w:color w:val="FFFFFF"/>
                      <w:sz w:val="16"/>
                      <w:szCs w:val="16"/>
                    </w:rPr>
                    <w:t>Returns (TWRR)</w:t>
                  </w:r>
                </w:p>
              </w:tc>
              <w:tc>
                <w:tcPr>
                  <w:tcW w:w="1037" w:type="dxa"/>
                  <w:tcBorders>
                    <w:top w:val="single" w:sz="4" w:space="0" w:color="C9D1DB"/>
                    <w:left w:val="single" w:sz="4" w:space="0" w:color="C9D1DB"/>
                    <w:bottom w:val="single" w:sz="4" w:space="0" w:color="C9D1DB"/>
                    <w:right w:val="single" w:sz="4" w:space="0" w:color="C9D1DB"/>
                  </w:tcBorders>
                  <w:shd w:val="clear" w:color="auto" w:fill="006969"/>
                </w:tcPr>
                <w:p w14:paraId="6DB4E6B4" w14:textId="75FC74A7" w:rsidR="00923AD3" w:rsidRPr="00F67E3F" w:rsidRDefault="00923AD3" w:rsidP="00142771">
                  <w:pPr>
                    <w:jc w:val="center"/>
                    <w:rPr>
                      <w:b/>
                      <w:bCs/>
                      <w:color w:val="FFFFFF"/>
                      <w:sz w:val="16"/>
                      <w:szCs w:val="16"/>
                    </w:rPr>
                  </w:pPr>
                  <w:r>
                    <w:rPr>
                      <w:b/>
                      <w:bCs/>
                      <w:color w:val="FFFFFF"/>
                      <w:sz w:val="16"/>
                      <w:szCs w:val="16"/>
                    </w:rPr>
                    <w:t>1-Month</w:t>
                  </w:r>
                </w:p>
              </w:tc>
              <w:tc>
                <w:tcPr>
                  <w:tcW w:w="1113" w:type="dxa"/>
                  <w:tcBorders>
                    <w:top w:val="single" w:sz="4" w:space="0" w:color="C9D1DB"/>
                    <w:left w:val="single" w:sz="4" w:space="0" w:color="C9D1DB"/>
                    <w:bottom w:val="single" w:sz="4" w:space="0" w:color="C9D1DB"/>
                    <w:right w:val="single" w:sz="4" w:space="0" w:color="C9D1DB"/>
                  </w:tcBorders>
                  <w:shd w:val="clear" w:color="auto" w:fill="006969"/>
                </w:tcPr>
                <w:p w14:paraId="67B4C1C5" w14:textId="2D02C105" w:rsidR="00923AD3" w:rsidRPr="00F67E3F" w:rsidRDefault="00923AD3">
                  <w:pPr>
                    <w:jc w:val="center"/>
                    <w:rPr>
                      <w:b/>
                      <w:bCs/>
                      <w:color w:val="FFFFFF"/>
                      <w:sz w:val="16"/>
                      <w:szCs w:val="16"/>
                    </w:rPr>
                  </w:pPr>
                  <w:r>
                    <w:rPr>
                      <w:b/>
                      <w:bCs/>
                      <w:color w:val="FFFFFF"/>
                      <w:sz w:val="16"/>
                      <w:szCs w:val="16"/>
                    </w:rPr>
                    <w:t>3-Month</w:t>
                  </w:r>
                </w:p>
              </w:tc>
              <w:tc>
                <w:tcPr>
                  <w:tcW w:w="1516" w:type="dxa"/>
                  <w:tcBorders>
                    <w:top w:val="single" w:sz="4" w:space="0" w:color="C9D1DB"/>
                    <w:left w:val="single" w:sz="4" w:space="0" w:color="C9D1DB"/>
                    <w:bottom w:val="single" w:sz="4" w:space="0" w:color="C9D1DB"/>
                    <w:right w:val="single" w:sz="4" w:space="0" w:color="C9D1DB"/>
                  </w:tcBorders>
                  <w:shd w:val="clear" w:color="auto" w:fill="006969"/>
                  <w:tcMar>
                    <w:top w:w="75" w:type="dxa"/>
                    <w:left w:w="140" w:type="dxa"/>
                    <w:bottom w:w="75" w:type="dxa"/>
                    <w:right w:w="140" w:type="dxa"/>
                  </w:tcMar>
                  <w:vAlign w:val="center"/>
                </w:tcPr>
                <w:p w14:paraId="062CBDDE" w14:textId="3FA63E67" w:rsidR="00923AD3" w:rsidRPr="00F67E3F" w:rsidRDefault="00923AD3">
                  <w:pPr>
                    <w:jc w:val="center"/>
                    <w:rPr>
                      <w:sz w:val="16"/>
                      <w:szCs w:val="16"/>
                    </w:rPr>
                  </w:pPr>
                  <w:r w:rsidRPr="00F67E3F">
                    <w:rPr>
                      <w:b/>
                      <w:bCs/>
                      <w:color w:val="FFFFFF"/>
                      <w:sz w:val="16"/>
                      <w:szCs w:val="16"/>
                    </w:rPr>
                    <w:t>Since Inception*</w:t>
                  </w:r>
                </w:p>
              </w:tc>
            </w:tr>
            <w:tr w:rsidR="00923AD3" w:rsidRPr="00F67E3F" w14:paraId="36D96506" w14:textId="77777777" w:rsidTr="00213978">
              <w:trPr>
                <w:trHeight w:val="457"/>
              </w:trPr>
              <w:tc>
                <w:tcPr>
                  <w:tcW w:w="1615" w:type="dxa"/>
                  <w:gridSpan w:val="2"/>
                  <w:tcBorders>
                    <w:top w:val="single" w:sz="4" w:space="0" w:color="C9D1DB"/>
                    <w:left w:val="single" w:sz="4" w:space="0" w:color="C9D1DB"/>
                    <w:bottom w:val="single" w:sz="4" w:space="0" w:color="C9D1DB"/>
                    <w:right w:val="single" w:sz="4" w:space="0" w:color="C9D1DB"/>
                  </w:tcBorders>
                  <w:shd w:val="clear" w:color="auto" w:fill="F5F4EC"/>
                  <w:tcMar>
                    <w:top w:w="42" w:type="dxa"/>
                    <w:left w:w="130" w:type="dxa"/>
                    <w:bottom w:w="42" w:type="dxa"/>
                    <w:right w:w="130" w:type="dxa"/>
                  </w:tcMar>
                  <w:vAlign w:val="center"/>
                </w:tcPr>
                <w:p w14:paraId="317797B6" w14:textId="77777777" w:rsidR="00923AD3" w:rsidRPr="00F67E3F" w:rsidRDefault="00923AD3" w:rsidP="00923AD3">
                  <w:pPr>
                    <w:rPr>
                      <w:sz w:val="16"/>
                      <w:szCs w:val="16"/>
                    </w:rPr>
                  </w:pPr>
                  <w:r w:rsidRPr="00F67E3F">
                    <w:rPr>
                      <w:b/>
                      <w:bCs/>
                      <w:color w:val="006969"/>
                      <w:sz w:val="16"/>
                      <w:szCs w:val="16"/>
                    </w:rPr>
                    <w:t>AMPL-</w:t>
                  </w:r>
                  <w:proofErr w:type="spellStart"/>
                  <w:r w:rsidRPr="00F67E3F">
                    <w:rPr>
                      <w:b/>
                      <w:bCs/>
                      <w:color w:val="006969"/>
                      <w:sz w:val="16"/>
                      <w:szCs w:val="16"/>
                    </w:rPr>
                    <w:t>Fincart</w:t>
                  </w:r>
                  <w:proofErr w:type="spellEnd"/>
                  <w:r w:rsidRPr="00F67E3F">
                    <w:rPr>
                      <w:b/>
                      <w:bCs/>
                      <w:color w:val="006969"/>
                      <w:sz w:val="16"/>
                      <w:szCs w:val="16"/>
                    </w:rPr>
                    <w:t xml:space="preserve"> Strategy</w:t>
                  </w:r>
                </w:p>
              </w:tc>
              <w:tc>
                <w:tcPr>
                  <w:tcW w:w="1037" w:type="dxa"/>
                  <w:tcBorders>
                    <w:top w:val="single" w:sz="4" w:space="0" w:color="C9D1DB"/>
                    <w:left w:val="single" w:sz="4" w:space="0" w:color="C9D1DB"/>
                    <w:bottom w:val="single" w:sz="4" w:space="0" w:color="C9D1DB"/>
                    <w:right w:val="single" w:sz="4" w:space="0" w:color="C9D1DB"/>
                  </w:tcBorders>
                  <w:shd w:val="clear" w:color="auto" w:fill="F5F4EC"/>
                  <w:vAlign w:val="center"/>
                </w:tcPr>
                <w:p w14:paraId="2F48287E" w14:textId="36790B06" w:rsidR="00923AD3" w:rsidRPr="00F67E3F" w:rsidRDefault="00923AD3" w:rsidP="00923AD3">
                  <w:pPr>
                    <w:jc w:val="center"/>
                    <w:rPr>
                      <w:b/>
                      <w:bCs/>
                      <w:color w:val="006969"/>
                      <w:sz w:val="16"/>
                      <w:szCs w:val="16"/>
                    </w:rPr>
                  </w:pPr>
                  <w:r>
                    <w:rPr>
                      <w:b/>
                      <w:bCs/>
                      <w:color w:val="006969"/>
                      <w:sz w:val="16"/>
                      <w:szCs w:val="16"/>
                    </w:rPr>
                    <w:t>1.31</w:t>
                  </w:r>
                  <w:r w:rsidRPr="00F67E3F">
                    <w:rPr>
                      <w:b/>
                      <w:bCs/>
                      <w:color w:val="006969"/>
                      <w:sz w:val="16"/>
                      <w:szCs w:val="16"/>
                    </w:rPr>
                    <w:t>%</w:t>
                  </w:r>
                </w:p>
              </w:tc>
              <w:tc>
                <w:tcPr>
                  <w:tcW w:w="1113" w:type="dxa"/>
                  <w:tcBorders>
                    <w:top w:val="single" w:sz="4" w:space="0" w:color="C9D1DB"/>
                    <w:left w:val="single" w:sz="4" w:space="0" w:color="C9D1DB"/>
                    <w:bottom w:val="single" w:sz="4" w:space="0" w:color="C9D1DB"/>
                    <w:right w:val="single" w:sz="4" w:space="0" w:color="C9D1DB"/>
                  </w:tcBorders>
                  <w:shd w:val="clear" w:color="auto" w:fill="F5F4EC"/>
                  <w:vAlign w:val="center"/>
                </w:tcPr>
                <w:p w14:paraId="228A8D60" w14:textId="3CCD6A75" w:rsidR="00923AD3" w:rsidRPr="00923AD3" w:rsidRDefault="00923AD3" w:rsidP="00923AD3">
                  <w:pPr>
                    <w:jc w:val="center"/>
                    <w:rPr>
                      <w:sz w:val="16"/>
                      <w:szCs w:val="16"/>
                    </w:rPr>
                  </w:pPr>
                  <w:r>
                    <w:rPr>
                      <w:b/>
                      <w:bCs/>
                      <w:color w:val="006969"/>
                      <w:sz w:val="16"/>
                      <w:szCs w:val="16"/>
                    </w:rPr>
                    <w:t>2.37</w:t>
                  </w:r>
                  <w:r w:rsidRPr="00F67E3F">
                    <w:rPr>
                      <w:b/>
                      <w:bCs/>
                      <w:color w:val="006969"/>
                      <w:sz w:val="16"/>
                      <w:szCs w:val="16"/>
                    </w:rPr>
                    <w:t>%</w:t>
                  </w:r>
                </w:p>
              </w:tc>
              <w:tc>
                <w:tcPr>
                  <w:tcW w:w="1516" w:type="dxa"/>
                  <w:tcBorders>
                    <w:top w:val="single" w:sz="4" w:space="0" w:color="C9D1DB"/>
                    <w:left w:val="single" w:sz="4" w:space="0" w:color="C9D1DB"/>
                    <w:bottom w:val="single" w:sz="4" w:space="0" w:color="C9D1DB"/>
                    <w:right w:val="single" w:sz="4" w:space="0" w:color="C9D1DB"/>
                  </w:tcBorders>
                  <w:shd w:val="clear" w:color="auto" w:fill="F5F4EC"/>
                  <w:tcMar>
                    <w:top w:w="42" w:type="dxa"/>
                    <w:left w:w="110" w:type="dxa"/>
                    <w:bottom w:w="42" w:type="dxa"/>
                    <w:right w:w="110" w:type="dxa"/>
                  </w:tcMar>
                  <w:vAlign w:val="center"/>
                </w:tcPr>
                <w:p w14:paraId="5403F4F6" w14:textId="69351B9F" w:rsidR="00923AD3" w:rsidRPr="00F67E3F" w:rsidRDefault="00923AD3" w:rsidP="00923AD3">
                  <w:pPr>
                    <w:jc w:val="center"/>
                    <w:rPr>
                      <w:sz w:val="16"/>
                      <w:szCs w:val="16"/>
                    </w:rPr>
                  </w:pPr>
                  <w:r w:rsidRPr="00F67E3F">
                    <w:rPr>
                      <w:b/>
                      <w:bCs/>
                      <w:color w:val="006969"/>
                      <w:sz w:val="16"/>
                      <w:szCs w:val="16"/>
                    </w:rPr>
                    <w:t>+</w:t>
                  </w:r>
                  <w:r>
                    <w:rPr>
                      <w:b/>
                      <w:bCs/>
                      <w:color w:val="006969"/>
                      <w:sz w:val="16"/>
                      <w:szCs w:val="16"/>
                    </w:rPr>
                    <w:t>3.18</w:t>
                  </w:r>
                  <w:r w:rsidRPr="00F67E3F">
                    <w:rPr>
                      <w:b/>
                      <w:bCs/>
                      <w:color w:val="006969"/>
                      <w:sz w:val="16"/>
                      <w:szCs w:val="16"/>
                    </w:rPr>
                    <w:t>%</w:t>
                  </w:r>
                </w:p>
              </w:tc>
            </w:tr>
            <w:tr w:rsidR="00923AD3" w:rsidRPr="00F67E3F" w14:paraId="10697633" w14:textId="77777777" w:rsidTr="00A11325">
              <w:trPr>
                <w:trHeight w:val="457"/>
              </w:trPr>
              <w:tc>
                <w:tcPr>
                  <w:tcW w:w="1615" w:type="dxa"/>
                  <w:gridSpan w:val="2"/>
                  <w:tcBorders>
                    <w:top w:val="single" w:sz="4" w:space="0" w:color="C9D1DB"/>
                    <w:left w:val="single" w:sz="4" w:space="0" w:color="C9D1DB"/>
                    <w:bottom w:val="single" w:sz="4" w:space="0" w:color="C9D1DB"/>
                    <w:right w:val="single" w:sz="4" w:space="0" w:color="C9D1DB"/>
                  </w:tcBorders>
                  <w:tcMar>
                    <w:top w:w="42" w:type="dxa"/>
                    <w:left w:w="130" w:type="dxa"/>
                    <w:bottom w:w="42" w:type="dxa"/>
                    <w:right w:w="130" w:type="dxa"/>
                  </w:tcMar>
                  <w:vAlign w:val="center"/>
                </w:tcPr>
                <w:p w14:paraId="4D0560FC" w14:textId="2159407C" w:rsidR="00923AD3" w:rsidRPr="00F67E3F" w:rsidRDefault="00923AD3" w:rsidP="00923AD3">
                  <w:pPr>
                    <w:rPr>
                      <w:sz w:val="16"/>
                      <w:szCs w:val="16"/>
                    </w:rPr>
                  </w:pPr>
                  <w:r w:rsidRPr="00F67E3F">
                    <w:rPr>
                      <w:b/>
                      <w:bCs/>
                      <w:sz w:val="16"/>
                      <w:szCs w:val="16"/>
                    </w:rPr>
                    <w:t>Nifty 50 Hybrid Comp Debt 50:50</w:t>
                  </w:r>
                </w:p>
              </w:tc>
              <w:tc>
                <w:tcPr>
                  <w:tcW w:w="1037" w:type="dxa"/>
                  <w:tcBorders>
                    <w:top w:val="single" w:sz="4" w:space="0" w:color="C9D1DB"/>
                    <w:left w:val="single" w:sz="4" w:space="0" w:color="C9D1DB"/>
                    <w:bottom w:val="single" w:sz="4" w:space="0" w:color="C9D1DB"/>
                    <w:right w:val="single" w:sz="4" w:space="0" w:color="C9D1DB"/>
                  </w:tcBorders>
                  <w:vAlign w:val="center"/>
                </w:tcPr>
                <w:p w14:paraId="6518F82F" w14:textId="7A15DBAD" w:rsidR="00923AD3" w:rsidRPr="00F67E3F" w:rsidRDefault="00923AD3" w:rsidP="00923AD3">
                  <w:pPr>
                    <w:jc w:val="center"/>
                    <w:rPr>
                      <w:b/>
                      <w:bCs/>
                      <w:sz w:val="16"/>
                      <w:szCs w:val="16"/>
                    </w:rPr>
                  </w:pPr>
                  <w:r>
                    <w:rPr>
                      <w:b/>
                      <w:bCs/>
                      <w:sz w:val="16"/>
                      <w:szCs w:val="16"/>
                    </w:rPr>
                    <w:t>1.1%</w:t>
                  </w:r>
                </w:p>
              </w:tc>
              <w:tc>
                <w:tcPr>
                  <w:tcW w:w="1113" w:type="dxa"/>
                  <w:tcBorders>
                    <w:top w:val="single" w:sz="4" w:space="0" w:color="C9D1DB"/>
                    <w:left w:val="single" w:sz="4" w:space="0" w:color="C9D1DB"/>
                    <w:bottom w:val="single" w:sz="4" w:space="0" w:color="C9D1DB"/>
                    <w:right w:val="single" w:sz="4" w:space="0" w:color="C9D1DB"/>
                  </w:tcBorders>
                  <w:vAlign w:val="center"/>
                </w:tcPr>
                <w:p w14:paraId="1A7DA32A" w14:textId="23A3D608" w:rsidR="00923AD3" w:rsidRPr="00F67E3F" w:rsidRDefault="00923AD3" w:rsidP="00923AD3">
                  <w:pPr>
                    <w:jc w:val="center"/>
                    <w:rPr>
                      <w:b/>
                      <w:bCs/>
                      <w:sz w:val="16"/>
                      <w:szCs w:val="16"/>
                    </w:rPr>
                  </w:pPr>
                  <w:r>
                    <w:rPr>
                      <w:b/>
                      <w:bCs/>
                      <w:sz w:val="16"/>
                      <w:szCs w:val="16"/>
                    </w:rPr>
                    <w:t>2.26</w:t>
                  </w:r>
                  <w:r>
                    <w:rPr>
                      <w:b/>
                      <w:bCs/>
                      <w:sz w:val="16"/>
                      <w:szCs w:val="16"/>
                    </w:rPr>
                    <w:t>%</w:t>
                  </w:r>
                </w:p>
              </w:tc>
              <w:tc>
                <w:tcPr>
                  <w:tcW w:w="1516" w:type="dxa"/>
                  <w:tcBorders>
                    <w:top w:val="single" w:sz="4" w:space="0" w:color="C9D1DB"/>
                    <w:left w:val="single" w:sz="4" w:space="0" w:color="C9D1DB"/>
                    <w:bottom w:val="single" w:sz="4" w:space="0" w:color="C9D1DB"/>
                    <w:right w:val="single" w:sz="4" w:space="0" w:color="C9D1DB"/>
                  </w:tcBorders>
                  <w:tcMar>
                    <w:top w:w="42" w:type="dxa"/>
                    <w:left w:w="110" w:type="dxa"/>
                    <w:bottom w:w="42" w:type="dxa"/>
                    <w:right w:w="110" w:type="dxa"/>
                  </w:tcMar>
                  <w:vAlign w:val="center"/>
                </w:tcPr>
                <w:p w14:paraId="62667A2A" w14:textId="48E99097" w:rsidR="00923AD3" w:rsidRPr="00F67E3F" w:rsidRDefault="00923AD3" w:rsidP="00923AD3">
                  <w:pPr>
                    <w:jc w:val="center"/>
                    <w:rPr>
                      <w:sz w:val="16"/>
                      <w:szCs w:val="16"/>
                    </w:rPr>
                  </w:pPr>
                  <w:r w:rsidRPr="00F67E3F">
                    <w:rPr>
                      <w:b/>
                      <w:bCs/>
                      <w:sz w:val="16"/>
                      <w:szCs w:val="16"/>
                    </w:rPr>
                    <w:t>+</w:t>
                  </w:r>
                  <w:r>
                    <w:rPr>
                      <w:b/>
                      <w:bCs/>
                      <w:sz w:val="16"/>
                      <w:szCs w:val="16"/>
                    </w:rPr>
                    <w:t>4.84</w:t>
                  </w:r>
                  <w:r w:rsidRPr="00F67E3F">
                    <w:rPr>
                      <w:b/>
                      <w:bCs/>
                      <w:sz w:val="16"/>
                      <w:szCs w:val="16"/>
                    </w:rPr>
                    <w:t>%</w:t>
                  </w:r>
                </w:p>
              </w:tc>
            </w:tr>
            <w:tr w:rsidR="00923AD3" w14:paraId="7DE7F7FB" w14:textId="77777777" w:rsidTr="00923AD3">
              <w:trPr>
                <w:trHeight w:val="636"/>
              </w:trPr>
              <w:tc>
                <w:tcPr>
                  <w:tcW w:w="1418" w:type="dxa"/>
                  <w:tcBorders>
                    <w:top w:val="single" w:sz="4" w:space="0" w:color="C9D1DB"/>
                    <w:left w:val="single" w:sz="4" w:space="0" w:color="C9D1DB"/>
                    <w:bottom w:val="single" w:sz="4" w:space="0" w:color="C9D1DB"/>
                    <w:right w:val="single" w:sz="4" w:space="0" w:color="C9D1DB"/>
                  </w:tcBorders>
                  <w:shd w:val="clear" w:color="auto" w:fill="F5F4EC"/>
                </w:tcPr>
                <w:p w14:paraId="6F93C9E3" w14:textId="77777777" w:rsidR="00923AD3" w:rsidRPr="00324390" w:rsidRDefault="00923AD3" w:rsidP="00923AD3">
                  <w:pPr>
                    <w:spacing w:after="30"/>
                    <w:rPr>
                      <w:i/>
                      <w:iCs/>
                      <w:color w:val="666666"/>
                      <w:sz w:val="15"/>
                      <w:szCs w:val="15"/>
                    </w:rPr>
                  </w:pPr>
                </w:p>
              </w:tc>
              <w:tc>
                <w:tcPr>
                  <w:tcW w:w="3863" w:type="dxa"/>
                  <w:gridSpan w:val="4"/>
                  <w:tcBorders>
                    <w:top w:val="single" w:sz="4" w:space="0" w:color="C9D1DB"/>
                    <w:left w:val="single" w:sz="4" w:space="0" w:color="C9D1DB"/>
                    <w:bottom w:val="single" w:sz="4" w:space="0" w:color="C9D1DB"/>
                    <w:right w:val="single" w:sz="4" w:space="0" w:color="C9D1DB"/>
                  </w:tcBorders>
                  <w:shd w:val="clear" w:color="auto" w:fill="F5F4EC"/>
                </w:tcPr>
                <w:p w14:paraId="6D6F80AD" w14:textId="56C5A5F2" w:rsidR="00923AD3" w:rsidRPr="00324390" w:rsidRDefault="00923AD3" w:rsidP="00923AD3">
                  <w:pPr>
                    <w:spacing w:after="30"/>
                    <w:rPr>
                      <w:sz w:val="15"/>
                      <w:szCs w:val="15"/>
                    </w:rPr>
                  </w:pPr>
                  <w:r w:rsidRPr="00324390">
                    <w:rPr>
                      <w:i/>
                      <w:iCs/>
                      <w:color w:val="666666"/>
                      <w:sz w:val="15"/>
                      <w:szCs w:val="15"/>
                    </w:rPr>
                    <w:t xml:space="preserve"> 6M / 1Y not yet available — strategy launched 07-Apr-2026.</w:t>
                  </w:r>
                </w:p>
                <w:p w14:paraId="69A87045" w14:textId="77777777" w:rsidR="00923AD3" w:rsidRPr="00324390" w:rsidRDefault="00923AD3" w:rsidP="00923AD3">
                  <w:pPr>
                    <w:spacing w:before="6"/>
                    <w:rPr>
                      <w:sz w:val="15"/>
                      <w:szCs w:val="15"/>
                    </w:rPr>
                  </w:pPr>
                  <w:r w:rsidRPr="00324390">
                    <w:rPr>
                      <w:i/>
                      <w:iCs/>
                      <w:color w:val="666666"/>
                      <w:sz w:val="15"/>
                      <w:szCs w:val="15"/>
                    </w:rPr>
                    <w:t>*Absolute for period &lt;1Y; ≥1Y annualised. Gross of fees, TWRR method.</w:t>
                  </w:r>
                </w:p>
              </w:tc>
            </w:tr>
          </w:tbl>
          <w:p w14:paraId="47214E1F" w14:textId="77777777" w:rsidR="002346AC" w:rsidRDefault="002346AC"/>
        </w:tc>
      </w:tr>
    </w:tbl>
    <w:p w14:paraId="2A781E54" w14:textId="77777777" w:rsidR="002346AC" w:rsidRDefault="002346AC"/>
    <w:tbl>
      <w:tblPr>
        <w:tblW w:w="10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99"/>
      </w:tblGrid>
      <w:tr w:rsidR="002346AC" w14:paraId="1D82AB61" w14:textId="77777777" w:rsidTr="004441EB">
        <w:trPr>
          <w:trHeight w:val="210"/>
        </w:trPr>
        <w:tc>
          <w:tcPr>
            <w:tcW w:w="10499" w:type="dxa"/>
            <w:tcBorders>
              <w:top w:val="none" w:sz="0" w:space="0" w:color="FFFFFF"/>
              <w:left w:val="single" w:sz="10" w:space="0" w:color="C8960C"/>
              <w:bottom w:val="none" w:sz="0" w:space="0" w:color="FFFFFF"/>
              <w:right w:val="none" w:sz="0" w:space="0" w:color="FFFFFF"/>
            </w:tcBorders>
            <w:shd w:val="clear" w:color="auto" w:fill="006969"/>
            <w:tcMar>
              <w:top w:w="75" w:type="dxa"/>
              <w:left w:w="180" w:type="dxa"/>
              <w:bottom w:w="75" w:type="dxa"/>
              <w:right w:w="180" w:type="dxa"/>
            </w:tcMar>
            <w:vAlign w:val="center"/>
          </w:tcPr>
          <w:p w14:paraId="5D303589" w14:textId="77777777" w:rsidR="002346AC" w:rsidRDefault="00000000">
            <w:r>
              <w:rPr>
                <w:b/>
                <w:bCs/>
                <w:color w:val="FFFFFF"/>
                <w:sz w:val="18"/>
                <w:szCs w:val="18"/>
              </w:rPr>
              <w:t>ASSET ALLOCATION</w:t>
            </w:r>
            <w:r>
              <w:rPr>
                <w:i/>
                <w:iCs/>
                <w:color w:val="F5F4EC"/>
                <w:sz w:val="13"/>
                <w:szCs w:val="13"/>
              </w:rPr>
              <w:t xml:space="preserve">   Multi-asset, multi-cap diversification</w:t>
            </w:r>
          </w:p>
        </w:tc>
      </w:tr>
    </w:tbl>
    <w:p w14:paraId="38F55D37" w14:textId="77777777" w:rsidR="002346AC" w:rsidRDefault="002346AC"/>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3"/>
        <w:gridCol w:w="7095"/>
      </w:tblGrid>
      <w:tr w:rsidR="002346AC" w14:paraId="4E758CF4" w14:textId="77777777" w:rsidTr="00D83E98">
        <w:tc>
          <w:tcPr>
            <w:tcW w:w="2114" w:type="dxa"/>
            <w:tcBorders>
              <w:top w:val="none" w:sz="0" w:space="0" w:color="FFFFFF"/>
              <w:left w:val="none" w:sz="0" w:space="0" w:color="FFFFFF"/>
              <w:bottom w:val="none" w:sz="0" w:space="0" w:color="FFFFFF"/>
              <w:right w:val="none" w:sz="0" w:space="0" w:color="FFFFFF"/>
            </w:tcBorders>
            <w:vAlign w:val="center"/>
          </w:tcPr>
          <w:p w14:paraId="3805CA91" w14:textId="3641B20C" w:rsidR="002346AC" w:rsidRDefault="00D83E98">
            <w:pPr>
              <w:jc w:val="center"/>
            </w:pPr>
            <w:r>
              <w:rPr>
                <w:noProof/>
              </w:rPr>
              <w:drawing>
                <wp:inline distT="0" distB="0" distL="0" distR="0" wp14:anchorId="021135F2" wp14:editId="4576EB9B">
                  <wp:extent cx="2152650" cy="1905000"/>
                  <wp:effectExtent l="0" t="0" r="0" b="0"/>
                  <wp:docPr id="653330975" name="Chart 1">
                    <a:extLst xmlns:a="http://schemas.openxmlformats.org/drawingml/2006/main">
                      <a:ext uri="{FF2B5EF4-FFF2-40B4-BE49-F238E27FC236}">
                        <a16:creationId xmlns:a16="http://schemas.microsoft.com/office/drawing/2014/main" id="{C02109E0-0611-DFC1-1F92-28965AF97B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tcW w:w="7246" w:type="dxa"/>
            <w:tcBorders>
              <w:top w:val="none" w:sz="0" w:space="0" w:color="FFFFFF"/>
              <w:left w:val="none" w:sz="0" w:space="0" w:color="FFFFFF"/>
              <w:bottom w:val="none" w:sz="0" w:space="0" w:color="FFFFFF"/>
              <w:right w:val="none" w:sz="0" w:space="0" w:color="FFFFFF"/>
            </w:tcBorders>
            <w:vAlign w:val="center"/>
          </w:tcPr>
          <w:tbl>
            <w:tblPr>
              <w:tblW w:w="7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6"/>
              <w:gridCol w:w="3786"/>
              <w:gridCol w:w="1258"/>
              <w:gridCol w:w="1801"/>
            </w:tblGrid>
            <w:tr w:rsidR="002346AC" w14:paraId="3D3B7B8D" w14:textId="77777777" w:rsidTr="004B3702">
              <w:trPr>
                <w:trHeight w:val="250"/>
                <w:tblHeader/>
              </w:trPr>
              <w:tc>
                <w:tcPr>
                  <w:tcW w:w="336" w:type="dxa"/>
                  <w:tcBorders>
                    <w:top w:val="none" w:sz="0" w:space="0" w:color="FFFFFF"/>
                    <w:left w:val="none" w:sz="0" w:space="0" w:color="FFFFFF"/>
                    <w:bottom w:val="none" w:sz="0" w:space="0" w:color="FFFFFF"/>
                    <w:right w:val="none" w:sz="0" w:space="0" w:color="FFFFFF"/>
                  </w:tcBorders>
                  <w:shd w:val="clear" w:color="auto" w:fill="006969"/>
                  <w:tcMar>
                    <w:top w:w="60" w:type="dxa"/>
                    <w:left w:w="50" w:type="dxa"/>
                    <w:bottom w:w="60" w:type="dxa"/>
                    <w:right w:w="50" w:type="dxa"/>
                  </w:tcMar>
                  <w:vAlign w:val="center"/>
                </w:tcPr>
                <w:p w14:paraId="5138F05F" w14:textId="77777777" w:rsidR="002346AC" w:rsidRDefault="002346AC">
                  <w:pPr>
                    <w:spacing w:after="30"/>
                  </w:pPr>
                </w:p>
              </w:tc>
              <w:tc>
                <w:tcPr>
                  <w:tcW w:w="3786" w:type="dxa"/>
                  <w:tcBorders>
                    <w:top w:val="single" w:sz="4" w:space="0" w:color="C9D1DB"/>
                    <w:left w:val="single" w:sz="4" w:space="0" w:color="C9D1DB"/>
                    <w:bottom w:val="single" w:sz="4" w:space="0" w:color="C9D1DB"/>
                    <w:right w:val="single" w:sz="4" w:space="0" w:color="C9D1DB"/>
                  </w:tcBorders>
                  <w:shd w:val="clear" w:color="auto" w:fill="006969"/>
                  <w:tcMar>
                    <w:top w:w="75" w:type="dxa"/>
                    <w:left w:w="140" w:type="dxa"/>
                    <w:bottom w:w="75" w:type="dxa"/>
                    <w:right w:w="140" w:type="dxa"/>
                  </w:tcMar>
                  <w:vAlign w:val="center"/>
                </w:tcPr>
                <w:p w14:paraId="106A423C" w14:textId="77777777" w:rsidR="002346AC" w:rsidRPr="004441EB" w:rsidRDefault="00000000">
                  <w:pPr>
                    <w:rPr>
                      <w:sz w:val="16"/>
                      <w:szCs w:val="16"/>
                    </w:rPr>
                  </w:pPr>
                  <w:r w:rsidRPr="004441EB">
                    <w:rPr>
                      <w:b/>
                      <w:bCs/>
                      <w:color w:val="FFFFFF"/>
                      <w:sz w:val="16"/>
                      <w:szCs w:val="16"/>
                    </w:rPr>
                    <w:t>Asset Class</w:t>
                  </w:r>
                </w:p>
              </w:tc>
              <w:tc>
                <w:tcPr>
                  <w:tcW w:w="3059" w:type="dxa"/>
                  <w:gridSpan w:val="2"/>
                  <w:tcBorders>
                    <w:top w:val="single" w:sz="4" w:space="0" w:color="C9D1DB"/>
                    <w:left w:val="single" w:sz="4" w:space="0" w:color="C9D1DB"/>
                    <w:bottom w:val="single" w:sz="4" w:space="0" w:color="C9D1DB"/>
                    <w:right w:val="single" w:sz="4" w:space="0" w:color="C9D1DB"/>
                  </w:tcBorders>
                  <w:shd w:val="clear" w:color="auto" w:fill="006969"/>
                  <w:tcMar>
                    <w:top w:w="75" w:type="dxa"/>
                    <w:left w:w="140" w:type="dxa"/>
                    <w:bottom w:w="75" w:type="dxa"/>
                    <w:right w:w="140" w:type="dxa"/>
                  </w:tcMar>
                  <w:vAlign w:val="center"/>
                </w:tcPr>
                <w:p w14:paraId="577BA37B" w14:textId="77777777" w:rsidR="002346AC" w:rsidRPr="004441EB" w:rsidRDefault="00000000">
                  <w:pPr>
                    <w:jc w:val="center"/>
                    <w:rPr>
                      <w:sz w:val="16"/>
                      <w:szCs w:val="16"/>
                    </w:rPr>
                  </w:pPr>
                  <w:r w:rsidRPr="004441EB">
                    <w:rPr>
                      <w:b/>
                      <w:bCs/>
                      <w:color w:val="FFFFFF"/>
                      <w:sz w:val="16"/>
                      <w:szCs w:val="16"/>
                    </w:rPr>
                    <w:t>Weight</w:t>
                  </w:r>
                </w:p>
              </w:tc>
            </w:tr>
            <w:tr w:rsidR="002346AC" w14:paraId="72A9BE89" w14:textId="77777777" w:rsidTr="004B3702">
              <w:trPr>
                <w:trHeight w:val="233"/>
              </w:trPr>
              <w:tc>
                <w:tcPr>
                  <w:tcW w:w="336" w:type="dxa"/>
                  <w:tcBorders>
                    <w:top w:val="none" w:sz="0" w:space="0" w:color="FFFFFF"/>
                    <w:left w:val="none" w:sz="0" w:space="0" w:color="FFFFFF"/>
                    <w:bottom w:val="none" w:sz="0" w:space="0" w:color="FFFFFF"/>
                    <w:right w:val="none" w:sz="0" w:space="0" w:color="FFFFFF"/>
                  </w:tcBorders>
                  <w:shd w:val="clear" w:color="auto" w:fill="006969"/>
                  <w:tcMar>
                    <w:top w:w="28" w:type="dxa"/>
                    <w:left w:w="50" w:type="dxa"/>
                    <w:bottom w:w="28" w:type="dxa"/>
                    <w:right w:w="50" w:type="dxa"/>
                  </w:tcMar>
                  <w:vAlign w:val="center"/>
                </w:tcPr>
                <w:p w14:paraId="2DFFB035" w14:textId="77777777" w:rsidR="002346AC" w:rsidRDefault="002346AC">
                  <w:pPr>
                    <w:spacing w:after="30"/>
                  </w:pPr>
                </w:p>
              </w:tc>
              <w:tc>
                <w:tcPr>
                  <w:tcW w:w="5044" w:type="dxa"/>
                  <w:gridSpan w:val="2"/>
                  <w:tcBorders>
                    <w:top w:val="single" w:sz="4" w:space="0" w:color="C9D1DB"/>
                    <w:left w:val="single" w:sz="4" w:space="0" w:color="C9D1DB"/>
                    <w:bottom w:val="single" w:sz="4" w:space="0" w:color="C9D1DB"/>
                    <w:right w:val="single" w:sz="4" w:space="0" w:color="C9D1DB"/>
                  </w:tcBorders>
                  <w:shd w:val="clear" w:color="auto" w:fill="F5F4EC"/>
                  <w:tcMar>
                    <w:top w:w="28" w:type="dxa"/>
                    <w:left w:w="130" w:type="dxa"/>
                    <w:bottom w:w="28" w:type="dxa"/>
                    <w:right w:w="100" w:type="dxa"/>
                  </w:tcMar>
                  <w:vAlign w:val="center"/>
                </w:tcPr>
                <w:p w14:paraId="4517AEE1" w14:textId="77777777" w:rsidR="002346AC" w:rsidRPr="004441EB" w:rsidRDefault="00000000">
                  <w:pPr>
                    <w:rPr>
                      <w:sz w:val="16"/>
                      <w:szCs w:val="16"/>
                    </w:rPr>
                  </w:pPr>
                  <w:r w:rsidRPr="004441EB">
                    <w:rPr>
                      <w:b/>
                      <w:bCs/>
                      <w:color w:val="006969"/>
                      <w:sz w:val="16"/>
                      <w:szCs w:val="16"/>
                    </w:rPr>
                    <w:t>Domestic Equity MF</w:t>
                  </w:r>
                </w:p>
              </w:tc>
              <w:tc>
                <w:tcPr>
                  <w:tcW w:w="1801" w:type="dxa"/>
                  <w:tcBorders>
                    <w:top w:val="single" w:sz="4" w:space="0" w:color="C9D1DB"/>
                    <w:left w:val="single" w:sz="4" w:space="0" w:color="C9D1DB"/>
                    <w:bottom w:val="single" w:sz="4" w:space="0" w:color="C9D1DB"/>
                    <w:right w:val="single" w:sz="4" w:space="0" w:color="C9D1DB"/>
                  </w:tcBorders>
                  <w:shd w:val="clear" w:color="auto" w:fill="F5F4EC"/>
                  <w:tcMar>
                    <w:top w:w="28" w:type="dxa"/>
                    <w:left w:w="80" w:type="dxa"/>
                    <w:bottom w:w="28" w:type="dxa"/>
                    <w:right w:w="80" w:type="dxa"/>
                  </w:tcMar>
                  <w:vAlign w:val="center"/>
                </w:tcPr>
                <w:p w14:paraId="389CCE79" w14:textId="6566D4B6" w:rsidR="002346AC" w:rsidRPr="00CC2C69" w:rsidRDefault="00000F8C">
                  <w:pPr>
                    <w:jc w:val="center"/>
                    <w:rPr>
                      <w:color w:val="765E2F" w:themeColor="accent2" w:themeShade="80"/>
                      <w:sz w:val="16"/>
                      <w:szCs w:val="16"/>
                    </w:rPr>
                  </w:pPr>
                  <w:r w:rsidRPr="00000F8C">
                    <w:rPr>
                      <w:color w:val="765E2F" w:themeColor="accent2" w:themeShade="80"/>
                      <w:sz w:val="16"/>
                      <w:szCs w:val="16"/>
                    </w:rPr>
                    <w:t>60.4%</w:t>
                  </w:r>
                </w:p>
              </w:tc>
            </w:tr>
            <w:tr w:rsidR="00611CA8" w14:paraId="16B2BE2D" w14:textId="77777777" w:rsidTr="00DD4DE1">
              <w:trPr>
                <w:trHeight w:val="250"/>
              </w:trPr>
              <w:tc>
                <w:tcPr>
                  <w:tcW w:w="336" w:type="dxa"/>
                  <w:tcBorders>
                    <w:top w:val="none" w:sz="0" w:space="0" w:color="FFFFFF"/>
                    <w:left w:val="none" w:sz="0" w:space="0" w:color="FFFFFF"/>
                    <w:bottom w:val="none" w:sz="0" w:space="0" w:color="FFFFFF"/>
                    <w:right w:val="none" w:sz="0" w:space="0" w:color="FFFFFF"/>
                  </w:tcBorders>
                  <w:shd w:val="clear" w:color="auto" w:fill="039686"/>
                  <w:tcMar>
                    <w:top w:w="28" w:type="dxa"/>
                    <w:left w:w="50" w:type="dxa"/>
                    <w:bottom w:w="28" w:type="dxa"/>
                    <w:right w:w="50" w:type="dxa"/>
                  </w:tcMar>
                  <w:vAlign w:val="center"/>
                </w:tcPr>
                <w:p w14:paraId="74FF9204" w14:textId="77777777" w:rsidR="00611CA8" w:rsidRDefault="00611CA8" w:rsidP="00611CA8">
                  <w:pPr>
                    <w:spacing w:after="30"/>
                  </w:pPr>
                </w:p>
              </w:tc>
              <w:tc>
                <w:tcPr>
                  <w:tcW w:w="5044" w:type="dxa"/>
                  <w:gridSpan w:val="2"/>
                  <w:tcBorders>
                    <w:top w:val="single" w:sz="4" w:space="0" w:color="C9D1DB"/>
                    <w:left w:val="single" w:sz="4" w:space="0" w:color="C9D1DB"/>
                    <w:bottom w:val="single" w:sz="4" w:space="0" w:color="C9D1DB"/>
                    <w:right w:val="single" w:sz="4" w:space="0" w:color="C9D1DB"/>
                  </w:tcBorders>
                  <w:shd w:val="clear" w:color="auto" w:fill="FFFFFF"/>
                  <w:tcMar>
                    <w:top w:w="28" w:type="dxa"/>
                    <w:left w:w="130" w:type="dxa"/>
                    <w:bottom w:w="28" w:type="dxa"/>
                    <w:right w:w="100" w:type="dxa"/>
                  </w:tcMar>
                  <w:vAlign w:val="center"/>
                </w:tcPr>
                <w:p w14:paraId="0B919439" w14:textId="77777777" w:rsidR="00611CA8" w:rsidRPr="004441EB" w:rsidRDefault="00611CA8" w:rsidP="00611CA8">
                  <w:pPr>
                    <w:rPr>
                      <w:sz w:val="16"/>
                      <w:szCs w:val="16"/>
                    </w:rPr>
                  </w:pPr>
                  <w:r w:rsidRPr="004441EB">
                    <w:rPr>
                      <w:b/>
                      <w:bCs/>
                      <w:color w:val="006969"/>
                      <w:sz w:val="16"/>
                      <w:szCs w:val="16"/>
                    </w:rPr>
                    <w:t>International Equity</w:t>
                  </w:r>
                </w:p>
              </w:tc>
              <w:tc>
                <w:tcPr>
                  <w:tcW w:w="1801" w:type="dxa"/>
                  <w:tcBorders>
                    <w:top w:val="single" w:sz="4" w:space="0" w:color="C9D1DB"/>
                    <w:left w:val="single" w:sz="4" w:space="0" w:color="C9D1DB"/>
                    <w:bottom w:val="single" w:sz="4" w:space="0" w:color="C9D1DB"/>
                    <w:right w:val="single" w:sz="4" w:space="0" w:color="C9D1DB"/>
                  </w:tcBorders>
                  <w:shd w:val="clear" w:color="auto" w:fill="FFFFFF"/>
                  <w:tcMar>
                    <w:top w:w="28" w:type="dxa"/>
                    <w:left w:w="80" w:type="dxa"/>
                    <w:bottom w:w="28" w:type="dxa"/>
                    <w:right w:w="80" w:type="dxa"/>
                  </w:tcMar>
                </w:tcPr>
                <w:p w14:paraId="6AF0106B" w14:textId="34B05B70" w:rsidR="00611CA8" w:rsidRPr="00CC2C69" w:rsidRDefault="00000F8C" w:rsidP="00611CA8">
                  <w:pPr>
                    <w:jc w:val="center"/>
                    <w:rPr>
                      <w:color w:val="765E2F" w:themeColor="accent2" w:themeShade="80"/>
                      <w:sz w:val="16"/>
                      <w:szCs w:val="16"/>
                    </w:rPr>
                  </w:pPr>
                  <w:r w:rsidRPr="00000F8C">
                    <w:rPr>
                      <w:color w:val="765E2F" w:themeColor="accent2" w:themeShade="80"/>
                      <w:sz w:val="16"/>
                      <w:szCs w:val="16"/>
                    </w:rPr>
                    <w:t>3.9%</w:t>
                  </w:r>
                </w:p>
              </w:tc>
            </w:tr>
            <w:tr w:rsidR="00611CA8" w14:paraId="460026BD" w14:textId="77777777" w:rsidTr="00DD4DE1">
              <w:trPr>
                <w:trHeight w:val="233"/>
              </w:trPr>
              <w:tc>
                <w:tcPr>
                  <w:tcW w:w="336" w:type="dxa"/>
                  <w:tcBorders>
                    <w:top w:val="none" w:sz="0" w:space="0" w:color="FFFFFF"/>
                    <w:left w:val="none" w:sz="0" w:space="0" w:color="FFFFFF"/>
                    <w:bottom w:val="none" w:sz="0" w:space="0" w:color="FFFFFF"/>
                    <w:right w:val="none" w:sz="0" w:space="0" w:color="FFFFFF"/>
                  </w:tcBorders>
                  <w:shd w:val="clear" w:color="auto" w:fill="CCB280"/>
                  <w:tcMar>
                    <w:top w:w="28" w:type="dxa"/>
                    <w:left w:w="50" w:type="dxa"/>
                    <w:bottom w:w="28" w:type="dxa"/>
                    <w:right w:w="50" w:type="dxa"/>
                  </w:tcMar>
                  <w:vAlign w:val="center"/>
                </w:tcPr>
                <w:p w14:paraId="62368E00" w14:textId="77777777" w:rsidR="00611CA8" w:rsidRDefault="00611CA8" w:rsidP="00611CA8">
                  <w:pPr>
                    <w:spacing w:after="30"/>
                  </w:pPr>
                </w:p>
              </w:tc>
              <w:tc>
                <w:tcPr>
                  <w:tcW w:w="5044" w:type="dxa"/>
                  <w:gridSpan w:val="2"/>
                  <w:tcBorders>
                    <w:top w:val="single" w:sz="4" w:space="0" w:color="C9D1DB"/>
                    <w:left w:val="single" w:sz="4" w:space="0" w:color="C9D1DB"/>
                    <w:bottom w:val="single" w:sz="4" w:space="0" w:color="C9D1DB"/>
                    <w:right w:val="single" w:sz="4" w:space="0" w:color="C9D1DB"/>
                  </w:tcBorders>
                  <w:shd w:val="clear" w:color="auto" w:fill="F5F4EC"/>
                  <w:tcMar>
                    <w:top w:w="28" w:type="dxa"/>
                    <w:left w:w="130" w:type="dxa"/>
                    <w:bottom w:w="28" w:type="dxa"/>
                    <w:right w:w="100" w:type="dxa"/>
                  </w:tcMar>
                  <w:vAlign w:val="center"/>
                </w:tcPr>
                <w:p w14:paraId="61F2850B" w14:textId="77777777" w:rsidR="00611CA8" w:rsidRPr="004441EB" w:rsidRDefault="00611CA8" w:rsidP="00611CA8">
                  <w:pPr>
                    <w:rPr>
                      <w:sz w:val="16"/>
                      <w:szCs w:val="16"/>
                    </w:rPr>
                  </w:pPr>
                  <w:r w:rsidRPr="004441EB">
                    <w:rPr>
                      <w:b/>
                      <w:bCs/>
                      <w:color w:val="006969"/>
                      <w:sz w:val="16"/>
                      <w:szCs w:val="16"/>
                    </w:rPr>
                    <w:t>Commodities (Gold + Nat Res)</w:t>
                  </w:r>
                </w:p>
              </w:tc>
              <w:tc>
                <w:tcPr>
                  <w:tcW w:w="1801" w:type="dxa"/>
                  <w:tcBorders>
                    <w:top w:val="single" w:sz="4" w:space="0" w:color="C9D1DB"/>
                    <w:left w:val="single" w:sz="4" w:space="0" w:color="C9D1DB"/>
                    <w:bottom w:val="single" w:sz="4" w:space="0" w:color="C9D1DB"/>
                    <w:right w:val="single" w:sz="4" w:space="0" w:color="C9D1DB"/>
                  </w:tcBorders>
                  <w:shd w:val="clear" w:color="auto" w:fill="F5F4EC"/>
                  <w:tcMar>
                    <w:top w:w="28" w:type="dxa"/>
                    <w:left w:w="80" w:type="dxa"/>
                    <w:bottom w:w="28" w:type="dxa"/>
                    <w:right w:w="80" w:type="dxa"/>
                  </w:tcMar>
                </w:tcPr>
                <w:p w14:paraId="2FE6D82E" w14:textId="0C4D3587" w:rsidR="00611CA8" w:rsidRPr="00CC2C69" w:rsidRDefault="00000F8C" w:rsidP="00611CA8">
                  <w:pPr>
                    <w:jc w:val="center"/>
                    <w:rPr>
                      <w:color w:val="765E2F" w:themeColor="accent2" w:themeShade="80"/>
                      <w:sz w:val="16"/>
                      <w:szCs w:val="16"/>
                    </w:rPr>
                  </w:pPr>
                  <w:r w:rsidRPr="00000F8C">
                    <w:rPr>
                      <w:color w:val="765E2F" w:themeColor="accent2" w:themeShade="80"/>
                      <w:sz w:val="16"/>
                      <w:szCs w:val="16"/>
                    </w:rPr>
                    <w:t>10.27%</w:t>
                  </w:r>
                </w:p>
              </w:tc>
            </w:tr>
            <w:tr w:rsidR="00611CA8" w14:paraId="17A7A3D6" w14:textId="77777777" w:rsidTr="00DD4DE1">
              <w:trPr>
                <w:trHeight w:val="250"/>
              </w:trPr>
              <w:tc>
                <w:tcPr>
                  <w:tcW w:w="336" w:type="dxa"/>
                  <w:tcBorders>
                    <w:top w:val="none" w:sz="0" w:space="0" w:color="FFFFFF"/>
                    <w:left w:val="none" w:sz="0" w:space="0" w:color="FFFFFF"/>
                    <w:bottom w:val="none" w:sz="0" w:space="0" w:color="FFFFFF"/>
                    <w:right w:val="none" w:sz="0" w:space="0" w:color="FFFFFF"/>
                  </w:tcBorders>
                  <w:shd w:val="clear" w:color="auto" w:fill="89BDB4"/>
                  <w:tcMar>
                    <w:top w:w="28" w:type="dxa"/>
                    <w:left w:w="50" w:type="dxa"/>
                    <w:bottom w:w="28" w:type="dxa"/>
                    <w:right w:w="50" w:type="dxa"/>
                  </w:tcMar>
                  <w:vAlign w:val="center"/>
                </w:tcPr>
                <w:p w14:paraId="082ADC49" w14:textId="77777777" w:rsidR="00611CA8" w:rsidRDefault="00611CA8" w:rsidP="00611CA8">
                  <w:pPr>
                    <w:spacing w:after="30"/>
                  </w:pPr>
                </w:p>
              </w:tc>
              <w:tc>
                <w:tcPr>
                  <w:tcW w:w="5044" w:type="dxa"/>
                  <w:gridSpan w:val="2"/>
                  <w:tcBorders>
                    <w:top w:val="single" w:sz="4" w:space="0" w:color="C9D1DB"/>
                    <w:left w:val="single" w:sz="4" w:space="0" w:color="C9D1DB"/>
                    <w:bottom w:val="single" w:sz="4" w:space="0" w:color="C9D1DB"/>
                    <w:right w:val="single" w:sz="4" w:space="0" w:color="C9D1DB"/>
                  </w:tcBorders>
                  <w:shd w:val="clear" w:color="auto" w:fill="F5F4EC"/>
                  <w:tcMar>
                    <w:top w:w="28" w:type="dxa"/>
                    <w:left w:w="130" w:type="dxa"/>
                    <w:bottom w:w="28" w:type="dxa"/>
                    <w:right w:w="100" w:type="dxa"/>
                  </w:tcMar>
                  <w:vAlign w:val="center"/>
                </w:tcPr>
                <w:p w14:paraId="6F518B6C" w14:textId="77777777" w:rsidR="00611CA8" w:rsidRPr="004441EB" w:rsidRDefault="00611CA8" w:rsidP="00611CA8">
                  <w:pPr>
                    <w:rPr>
                      <w:sz w:val="16"/>
                      <w:szCs w:val="16"/>
                    </w:rPr>
                  </w:pPr>
                  <w:r w:rsidRPr="004441EB">
                    <w:rPr>
                      <w:b/>
                      <w:bCs/>
                      <w:color w:val="006969"/>
                      <w:sz w:val="16"/>
                      <w:szCs w:val="16"/>
                    </w:rPr>
                    <w:t>Debt Mutual Funds</w:t>
                  </w:r>
                </w:p>
              </w:tc>
              <w:tc>
                <w:tcPr>
                  <w:tcW w:w="1801" w:type="dxa"/>
                  <w:tcBorders>
                    <w:top w:val="single" w:sz="4" w:space="0" w:color="C9D1DB"/>
                    <w:left w:val="single" w:sz="4" w:space="0" w:color="C9D1DB"/>
                    <w:bottom w:val="single" w:sz="4" w:space="0" w:color="C9D1DB"/>
                    <w:right w:val="single" w:sz="4" w:space="0" w:color="C9D1DB"/>
                  </w:tcBorders>
                  <w:shd w:val="clear" w:color="auto" w:fill="F5F4EC"/>
                  <w:tcMar>
                    <w:top w:w="28" w:type="dxa"/>
                    <w:left w:w="80" w:type="dxa"/>
                    <w:bottom w:w="28" w:type="dxa"/>
                    <w:right w:w="80" w:type="dxa"/>
                  </w:tcMar>
                </w:tcPr>
                <w:p w14:paraId="265EA333" w14:textId="10A21070" w:rsidR="00611CA8" w:rsidRPr="00CC2C69" w:rsidRDefault="00000F8C" w:rsidP="00611CA8">
                  <w:pPr>
                    <w:jc w:val="center"/>
                    <w:rPr>
                      <w:color w:val="765E2F" w:themeColor="accent2" w:themeShade="80"/>
                      <w:sz w:val="16"/>
                      <w:szCs w:val="16"/>
                    </w:rPr>
                  </w:pPr>
                  <w:r w:rsidRPr="00000F8C">
                    <w:rPr>
                      <w:color w:val="765E2F" w:themeColor="accent2" w:themeShade="80"/>
                      <w:sz w:val="16"/>
                      <w:szCs w:val="16"/>
                    </w:rPr>
                    <w:t>13.11%</w:t>
                  </w:r>
                </w:p>
              </w:tc>
            </w:tr>
            <w:tr w:rsidR="00611CA8" w14:paraId="05F35619" w14:textId="77777777" w:rsidTr="00DD4DE1">
              <w:trPr>
                <w:trHeight w:val="233"/>
              </w:trPr>
              <w:tc>
                <w:tcPr>
                  <w:tcW w:w="336" w:type="dxa"/>
                  <w:tcBorders>
                    <w:top w:val="none" w:sz="0" w:space="0" w:color="FFFFFF"/>
                    <w:left w:val="none" w:sz="0" w:space="0" w:color="FFFFFF"/>
                    <w:bottom w:val="none" w:sz="0" w:space="0" w:color="FFFFFF"/>
                    <w:right w:val="none" w:sz="0" w:space="0" w:color="FFFFFF"/>
                  </w:tcBorders>
                  <w:shd w:val="clear" w:color="auto" w:fill="BAEADF"/>
                  <w:tcMar>
                    <w:top w:w="28" w:type="dxa"/>
                    <w:left w:w="50" w:type="dxa"/>
                    <w:bottom w:w="28" w:type="dxa"/>
                    <w:right w:w="50" w:type="dxa"/>
                  </w:tcMar>
                  <w:vAlign w:val="center"/>
                </w:tcPr>
                <w:p w14:paraId="15450716" w14:textId="77777777" w:rsidR="00611CA8" w:rsidRDefault="00611CA8" w:rsidP="00611CA8">
                  <w:pPr>
                    <w:spacing w:after="30"/>
                  </w:pPr>
                </w:p>
              </w:tc>
              <w:tc>
                <w:tcPr>
                  <w:tcW w:w="5044" w:type="dxa"/>
                  <w:gridSpan w:val="2"/>
                  <w:tcBorders>
                    <w:top w:val="single" w:sz="4" w:space="0" w:color="C9D1DB"/>
                    <w:left w:val="single" w:sz="4" w:space="0" w:color="C9D1DB"/>
                    <w:bottom w:val="single" w:sz="4" w:space="0" w:color="C9D1DB"/>
                    <w:right w:val="single" w:sz="4" w:space="0" w:color="C9D1DB"/>
                  </w:tcBorders>
                  <w:shd w:val="clear" w:color="auto" w:fill="FFFFFF"/>
                  <w:tcMar>
                    <w:top w:w="28" w:type="dxa"/>
                    <w:left w:w="130" w:type="dxa"/>
                    <w:bottom w:w="28" w:type="dxa"/>
                    <w:right w:w="100" w:type="dxa"/>
                  </w:tcMar>
                  <w:vAlign w:val="center"/>
                </w:tcPr>
                <w:p w14:paraId="142D8F44" w14:textId="77777777" w:rsidR="00611CA8" w:rsidRPr="004441EB" w:rsidRDefault="00611CA8" w:rsidP="00611CA8">
                  <w:pPr>
                    <w:rPr>
                      <w:sz w:val="16"/>
                      <w:szCs w:val="16"/>
                    </w:rPr>
                  </w:pPr>
                  <w:r w:rsidRPr="004441EB">
                    <w:rPr>
                      <w:b/>
                      <w:bCs/>
                      <w:color w:val="006969"/>
                      <w:sz w:val="16"/>
                      <w:szCs w:val="16"/>
                    </w:rPr>
                    <w:t>Cash &amp; Equivalent</w:t>
                  </w:r>
                </w:p>
              </w:tc>
              <w:tc>
                <w:tcPr>
                  <w:tcW w:w="1801" w:type="dxa"/>
                  <w:tcBorders>
                    <w:top w:val="single" w:sz="4" w:space="0" w:color="C9D1DB"/>
                    <w:left w:val="single" w:sz="4" w:space="0" w:color="C9D1DB"/>
                    <w:bottom w:val="single" w:sz="4" w:space="0" w:color="C9D1DB"/>
                    <w:right w:val="single" w:sz="4" w:space="0" w:color="C9D1DB"/>
                  </w:tcBorders>
                  <w:shd w:val="clear" w:color="auto" w:fill="FFFFFF"/>
                  <w:tcMar>
                    <w:top w:w="28" w:type="dxa"/>
                    <w:left w:w="80" w:type="dxa"/>
                    <w:bottom w:w="28" w:type="dxa"/>
                    <w:right w:w="80" w:type="dxa"/>
                  </w:tcMar>
                </w:tcPr>
                <w:p w14:paraId="32DDE6FD" w14:textId="3D772B10" w:rsidR="00611CA8" w:rsidRPr="00CC2C69" w:rsidRDefault="00000F8C" w:rsidP="00611CA8">
                  <w:pPr>
                    <w:jc w:val="center"/>
                    <w:rPr>
                      <w:color w:val="765E2F" w:themeColor="accent2" w:themeShade="80"/>
                      <w:sz w:val="16"/>
                      <w:szCs w:val="16"/>
                    </w:rPr>
                  </w:pPr>
                  <w:r w:rsidRPr="00000F8C">
                    <w:rPr>
                      <w:color w:val="765E2F" w:themeColor="accent2" w:themeShade="80"/>
                      <w:sz w:val="16"/>
                      <w:szCs w:val="16"/>
                    </w:rPr>
                    <w:t>12.33%</w:t>
                  </w:r>
                </w:p>
              </w:tc>
            </w:tr>
            <w:tr w:rsidR="002346AC" w14:paraId="7A4F17D9" w14:textId="77777777" w:rsidTr="004B3702">
              <w:trPr>
                <w:trHeight w:val="267"/>
              </w:trPr>
              <w:tc>
                <w:tcPr>
                  <w:tcW w:w="336" w:type="dxa"/>
                  <w:tcBorders>
                    <w:top w:val="none" w:sz="0" w:space="0" w:color="FFFFFF"/>
                    <w:left w:val="none" w:sz="0" w:space="0" w:color="FFFFFF"/>
                    <w:bottom w:val="none" w:sz="0" w:space="0" w:color="FFFFFF"/>
                    <w:right w:val="none" w:sz="0" w:space="0" w:color="FFFFFF"/>
                  </w:tcBorders>
                  <w:shd w:val="clear" w:color="auto" w:fill="006969"/>
                  <w:tcMar>
                    <w:top w:w="38" w:type="dxa"/>
                    <w:left w:w="50" w:type="dxa"/>
                    <w:bottom w:w="38" w:type="dxa"/>
                    <w:right w:w="50" w:type="dxa"/>
                  </w:tcMar>
                  <w:vAlign w:val="center"/>
                </w:tcPr>
                <w:p w14:paraId="633ABCEB" w14:textId="77777777" w:rsidR="002346AC" w:rsidRDefault="002346AC">
                  <w:pPr>
                    <w:spacing w:after="30"/>
                  </w:pPr>
                </w:p>
              </w:tc>
              <w:tc>
                <w:tcPr>
                  <w:tcW w:w="5044" w:type="dxa"/>
                  <w:gridSpan w:val="2"/>
                  <w:tcBorders>
                    <w:top w:val="single" w:sz="4" w:space="0" w:color="C9D1DB"/>
                    <w:left w:val="single" w:sz="4" w:space="0" w:color="C9D1DB"/>
                    <w:bottom w:val="single" w:sz="4" w:space="0" w:color="C9D1DB"/>
                    <w:right w:val="single" w:sz="4" w:space="0" w:color="C9D1DB"/>
                  </w:tcBorders>
                  <w:shd w:val="clear" w:color="auto" w:fill="006969"/>
                  <w:tcMar>
                    <w:top w:w="38" w:type="dxa"/>
                    <w:left w:w="130" w:type="dxa"/>
                    <w:bottom w:w="38" w:type="dxa"/>
                    <w:right w:w="100" w:type="dxa"/>
                  </w:tcMar>
                  <w:vAlign w:val="center"/>
                </w:tcPr>
                <w:p w14:paraId="5F6E7A48" w14:textId="71D553BB" w:rsidR="002346AC" w:rsidRPr="004441EB" w:rsidRDefault="00000000">
                  <w:pPr>
                    <w:rPr>
                      <w:sz w:val="16"/>
                      <w:szCs w:val="16"/>
                    </w:rPr>
                  </w:pPr>
                  <w:r w:rsidRPr="004441EB">
                    <w:rPr>
                      <w:b/>
                      <w:bCs/>
                      <w:color w:val="FFFFFF"/>
                      <w:sz w:val="16"/>
                      <w:szCs w:val="16"/>
                    </w:rPr>
                    <w:t>TOTAL  •  1</w:t>
                  </w:r>
                  <w:r w:rsidR="008C77DA">
                    <w:rPr>
                      <w:b/>
                      <w:bCs/>
                      <w:color w:val="FFFFFF"/>
                      <w:sz w:val="16"/>
                      <w:szCs w:val="16"/>
                    </w:rPr>
                    <w:t>4</w:t>
                  </w:r>
                  <w:r w:rsidRPr="004441EB">
                    <w:rPr>
                      <w:b/>
                      <w:bCs/>
                      <w:color w:val="FFFFFF"/>
                      <w:sz w:val="16"/>
                      <w:szCs w:val="16"/>
                    </w:rPr>
                    <w:t xml:space="preserve"> underlying schemes</w:t>
                  </w:r>
                </w:p>
              </w:tc>
              <w:tc>
                <w:tcPr>
                  <w:tcW w:w="1801" w:type="dxa"/>
                  <w:tcBorders>
                    <w:top w:val="single" w:sz="4" w:space="0" w:color="C9D1DB"/>
                    <w:left w:val="single" w:sz="4" w:space="0" w:color="C9D1DB"/>
                    <w:bottom w:val="single" w:sz="4" w:space="0" w:color="C9D1DB"/>
                    <w:right w:val="single" w:sz="4" w:space="0" w:color="C9D1DB"/>
                  </w:tcBorders>
                  <w:shd w:val="clear" w:color="auto" w:fill="006969"/>
                  <w:tcMar>
                    <w:top w:w="38" w:type="dxa"/>
                    <w:left w:w="80" w:type="dxa"/>
                    <w:bottom w:w="38" w:type="dxa"/>
                    <w:right w:w="80" w:type="dxa"/>
                  </w:tcMar>
                  <w:vAlign w:val="center"/>
                </w:tcPr>
                <w:p w14:paraId="2C56001D" w14:textId="77777777" w:rsidR="002346AC" w:rsidRPr="004441EB" w:rsidRDefault="00000000">
                  <w:pPr>
                    <w:jc w:val="center"/>
                    <w:rPr>
                      <w:sz w:val="16"/>
                      <w:szCs w:val="16"/>
                    </w:rPr>
                  </w:pPr>
                  <w:r w:rsidRPr="004441EB">
                    <w:rPr>
                      <w:b/>
                      <w:bCs/>
                      <w:color w:val="FFFFFF"/>
                      <w:sz w:val="16"/>
                      <w:szCs w:val="16"/>
                    </w:rPr>
                    <w:t>100.00%</w:t>
                  </w:r>
                </w:p>
              </w:tc>
            </w:tr>
          </w:tbl>
          <w:p w14:paraId="4752CC54" w14:textId="77777777" w:rsidR="002346AC" w:rsidRDefault="002346AC"/>
        </w:tc>
      </w:tr>
    </w:tbl>
    <w:p w14:paraId="0EAD4FB3" w14:textId="77777777" w:rsidR="002346AC" w:rsidRDefault="002346AC"/>
    <w:tbl>
      <w:tblPr>
        <w:tblW w:w="10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559"/>
      </w:tblGrid>
      <w:tr w:rsidR="002346AC" w14:paraId="41839300" w14:textId="77777777" w:rsidTr="00375E12">
        <w:trPr>
          <w:trHeight w:val="210"/>
        </w:trPr>
        <w:tc>
          <w:tcPr>
            <w:tcW w:w="10559" w:type="dxa"/>
            <w:tcBorders>
              <w:top w:val="none" w:sz="0" w:space="0" w:color="FFFFFF"/>
              <w:left w:val="single" w:sz="10" w:space="0" w:color="C8960C"/>
              <w:bottom w:val="none" w:sz="0" w:space="0" w:color="FFFFFF"/>
              <w:right w:val="none" w:sz="0" w:space="0" w:color="FFFFFF"/>
            </w:tcBorders>
            <w:shd w:val="clear" w:color="auto" w:fill="006969"/>
            <w:tcMar>
              <w:top w:w="75" w:type="dxa"/>
              <w:left w:w="180" w:type="dxa"/>
              <w:bottom w:w="75" w:type="dxa"/>
              <w:right w:w="180" w:type="dxa"/>
            </w:tcMar>
            <w:vAlign w:val="center"/>
          </w:tcPr>
          <w:p w14:paraId="29D73E73" w14:textId="24CB42C9" w:rsidR="002346AC" w:rsidRDefault="00000000">
            <w:r>
              <w:rPr>
                <w:b/>
                <w:bCs/>
                <w:color w:val="FFFFFF"/>
                <w:sz w:val="18"/>
                <w:szCs w:val="18"/>
              </w:rPr>
              <w:t xml:space="preserve">TOP </w:t>
            </w:r>
            <w:r w:rsidR="003126CA">
              <w:rPr>
                <w:b/>
                <w:bCs/>
                <w:color w:val="FFFFFF"/>
                <w:sz w:val="18"/>
                <w:szCs w:val="18"/>
              </w:rPr>
              <w:t>5</w:t>
            </w:r>
            <w:r>
              <w:rPr>
                <w:b/>
                <w:bCs/>
                <w:color w:val="FFFFFF"/>
                <w:sz w:val="18"/>
                <w:szCs w:val="18"/>
              </w:rPr>
              <w:t xml:space="preserve"> HOLDINGS</w:t>
            </w:r>
            <w:r>
              <w:rPr>
                <w:i/>
                <w:iCs/>
                <w:color w:val="F5F4EC"/>
                <w:sz w:val="13"/>
                <w:szCs w:val="13"/>
              </w:rPr>
              <w:t xml:space="preserve">   </w:t>
            </w:r>
            <w:r w:rsidRPr="00375E12">
              <w:rPr>
                <w:i/>
                <w:iCs/>
                <w:color w:val="F5F4EC"/>
                <w:sz w:val="15"/>
                <w:szCs w:val="15"/>
              </w:rPr>
              <w:t xml:space="preserve">By weight  </w:t>
            </w:r>
          </w:p>
        </w:tc>
      </w:tr>
    </w:tbl>
    <w:p w14:paraId="6FAB3CF1" w14:textId="77777777" w:rsidR="002346AC" w:rsidRDefault="002346AC"/>
    <w:tbl>
      <w:tblPr>
        <w:tblW w:w="10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9"/>
      </w:tblGrid>
      <w:tr w:rsidR="002346AC" w14:paraId="28E7ED00" w14:textId="77777777" w:rsidTr="00F54C8B">
        <w:trPr>
          <w:trHeight w:val="2506"/>
        </w:trPr>
        <w:tc>
          <w:tcPr>
            <w:tcW w:w="10629" w:type="dxa"/>
            <w:tcBorders>
              <w:top w:val="single" w:sz="4" w:space="0" w:color="C9D1DB"/>
              <w:left w:val="single" w:sz="10" w:space="0" w:color="C8960C"/>
              <w:bottom w:val="single" w:sz="4" w:space="0" w:color="C9D1DB"/>
              <w:right w:val="single" w:sz="4" w:space="0" w:color="C9D1DB"/>
            </w:tcBorders>
            <w:shd w:val="clear" w:color="auto" w:fill="FFFFFF"/>
            <w:vAlign w:val="center"/>
          </w:tcPr>
          <w:p w14:paraId="1F44AE85" w14:textId="536B7840" w:rsidR="002346AC" w:rsidRDefault="00F54C8B" w:rsidP="00F67E3F">
            <w:pPr>
              <w:jc w:val="center"/>
            </w:pPr>
            <w:r>
              <w:rPr>
                <w:noProof/>
              </w:rPr>
              <w:drawing>
                <wp:inline distT="0" distB="0" distL="0" distR="0" wp14:anchorId="5CF11CA5" wp14:editId="143F50B2">
                  <wp:extent cx="6591300" cy="1400175"/>
                  <wp:effectExtent l="0" t="0" r="0" b="9525"/>
                  <wp:docPr id="476624624" name="Chart 1">
                    <a:extLst xmlns:a="http://schemas.openxmlformats.org/drawingml/2006/main">
                      <a:ext uri="{FF2B5EF4-FFF2-40B4-BE49-F238E27FC236}">
                        <a16:creationId xmlns:a16="http://schemas.microsoft.com/office/drawing/2014/main" id="{33335105-7C74-0FFA-576C-E2F8AE07A2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bl>
    <w:p w14:paraId="647BD3D1" w14:textId="6D6A9AD7" w:rsidR="002346AC" w:rsidRDefault="002346AC"/>
    <w:tbl>
      <w:tblPr>
        <w:tblW w:w="10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681"/>
      </w:tblGrid>
      <w:tr w:rsidR="002346AC" w14:paraId="081C3DEF" w14:textId="77777777" w:rsidTr="004441EB">
        <w:trPr>
          <w:trHeight w:val="519"/>
        </w:trPr>
        <w:tc>
          <w:tcPr>
            <w:tcW w:w="10681" w:type="dxa"/>
            <w:tcBorders>
              <w:top w:val="none" w:sz="0" w:space="0" w:color="FFFFFF"/>
              <w:left w:val="none" w:sz="0" w:space="0" w:color="FFFFFF"/>
              <w:bottom w:val="none" w:sz="0" w:space="0" w:color="FFFFFF"/>
              <w:right w:val="none" w:sz="0" w:space="0" w:color="FFFFFF"/>
            </w:tcBorders>
            <w:shd w:val="clear" w:color="auto" w:fill="006969"/>
            <w:tcMar>
              <w:top w:w="140" w:type="dxa"/>
              <w:left w:w="260" w:type="dxa"/>
              <w:bottom w:w="140" w:type="dxa"/>
              <w:right w:w="260" w:type="dxa"/>
            </w:tcMar>
            <w:vAlign w:val="center"/>
          </w:tcPr>
          <w:p w14:paraId="7D79E951" w14:textId="77777777" w:rsidR="002346AC" w:rsidRDefault="00000000">
            <w:pPr>
              <w:spacing w:after="30"/>
            </w:pPr>
            <w:r>
              <w:rPr>
                <w:b/>
                <w:bCs/>
                <w:color w:val="FFFFFF"/>
                <w:sz w:val="24"/>
                <w:szCs w:val="24"/>
              </w:rPr>
              <w:lastRenderedPageBreak/>
              <w:t>DISCLAIMER &amp; STATUTORY DISCLOSURES</w:t>
            </w:r>
          </w:p>
          <w:p w14:paraId="48F8B3F3" w14:textId="4929F3BD" w:rsidR="002346AC" w:rsidRDefault="00000000">
            <w:pPr>
              <w:spacing w:after="30"/>
            </w:pPr>
            <w:r>
              <w:rPr>
                <w:i/>
                <w:iCs/>
                <w:color w:val="F5F4EC"/>
                <w:sz w:val="14"/>
                <w:szCs w:val="14"/>
              </w:rPr>
              <w:t>AMPL-</w:t>
            </w:r>
            <w:proofErr w:type="spellStart"/>
            <w:r>
              <w:rPr>
                <w:i/>
                <w:iCs/>
                <w:color w:val="F5F4EC"/>
                <w:sz w:val="14"/>
                <w:szCs w:val="14"/>
              </w:rPr>
              <w:t>Fincart</w:t>
            </w:r>
            <w:proofErr w:type="spellEnd"/>
            <w:r>
              <w:rPr>
                <w:i/>
                <w:iCs/>
                <w:color w:val="F5F4EC"/>
                <w:sz w:val="14"/>
                <w:szCs w:val="14"/>
              </w:rPr>
              <w:t xml:space="preserve"> Direct Mutual Fund Strategic Portfolio  •  </w:t>
            </w:r>
            <w:r w:rsidR="00BA427F">
              <w:rPr>
                <w:i/>
                <w:iCs/>
                <w:color w:val="F5F4EC"/>
                <w:sz w:val="14"/>
                <w:szCs w:val="14"/>
              </w:rPr>
              <w:t>May</w:t>
            </w:r>
            <w:r>
              <w:rPr>
                <w:i/>
                <w:iCs/>
                <w:color w:val="F5F4EC"/>
                <w:sz w:val="14"/>
                <w:szCs w:val="14"/>
              </w:rPr>
              <w:t xml:space="preserve"> 2026</w:t>
            </w:r>
          </w:p>
        </w:tc>
      </w:tr>
      <w:tr w:rsidR="002346AC" w14:paraId="6879E0AB" w14:textId="77777777" w:rsidTr="004441EB">
        <w:trPr>
          <w:trHeight w:hRule="exact" w:val="61"/>
        </w:trPr>
        <w:tc>
          <w:tcPr>
            <w:tcW w:w="10681" w:type="dxa"/>
            <w:tcBorders>
              <w:top w:val="none" w:sz="0" w:space="0" w:color="FFFFFF"/>
              <w:left w:val="none" w:sz="0" w:space="0" w:color="FFFFFF"/>
              <w:bottom w:val="none" w:sz="0" w:space="0" w:color="FFFFFF"/>
              <w:right w:val="none" w:sz="0" w:space="0" w:color="FFFFFF"/>
            </w:tcBorders>
            <w:shd w:val="clear" w:color="auto" w:fill="CCB280"/>
            <w:tcMar>
              <w:top w:w="0" w:type="dxa"/>
              <w:left w:w="0" w:type="dxa"/>
              <w:bottom w:w="0" w:type="dxa"/>
              <w:right w:w="0" w:type="dxa"/>
            </w:tcMar>
            <w:vAlign w:val="center"/>
          </w:tcPr>
          <w:p w14:paraId="3E80A655" w14:textId="77777777" w:rsidR="002346AC" w:rsidRDefault="002346AC">
            <w:pPr>
              <w:spacing w:after="30"/>
            </w:pPr>
          </w:p>
        </w:tc>
      </w:tr>
    </w:tbl>
    <w:p w14:paraId="26ACFF80" w14:textId="77777777" w:rsidR="002346AC" w:rsidRDefault="002346AC"/>
    <w:p w14:paraId="55D2A33F" w14:textId="77777777" w:rsidR="002346AC" w:rsidRPr="00F67E3F" w:rsidRDefault="00000000">
      <w:pPr>
        <w:spacing w:before="90" w:after="60"/>
        <w:jc w:val="both"/>
      </w:pPr>
      <w:r w:rsidRPr="00F67E3F">
        <w:rPr>
          <w:b/>
          <w:bCs/>
          <w:color w:val="006969"/>
        </w:rPr>
        <w:t xml:space="preserve">General Risk. </w:t>
      </w:r>
      <w:r w:rsidRPr="00F67E3F">
        <w:t>Prospective clients are expected to carefully consider all relevant risk factors — including financial condition, risk-return profile, tax implications, and investment objectives — before making any investment decision. Past performance is not indicative of future results.</w:t>
      </w:r>
    </w:p>
    <w:p w14:paraId="0CCD883F" w14:textId="77777777" w:rsidR="002346AC" w:rsidRPr="00F67E3F" w:rsidRDefault="00000000">
      <w:pPr>
        <w:spacing w:before="90" w:after="60"/>
        <w:jc w:val="both"/>
      </w:pPr>
      <w:r w:rsidRPr="00F67E3F">
        <w:rPr>
          <w:b/>
          <w:bCs/>
          <w:color w:val="006969"/>
        </w:rPr>
        <w:t xml:space="preserve">Market &amp; Mutual Fund Risk. </w:t>
      </w:r>
      <w:r w:rsidRPr="00F67E3F">
        <w:t>All products marketed by AMPL Asset Management Services Pvt Ltd are subject to market risks including settlement risk, economic risk, political risk, business risk, sector risk and concentration risk. The strategy invests exclusively in direct plan mutual fund schemes; the NAV of underlying schemes is exposed to equity, debt, currency and commodity market fluctuations. Mutual fund investments are subject to market risks; please read all scheme-related documents carefully before investing.</w:t>
      </w:r>
    </w:p>
    <w:p w14:paraId="43F0A2FE" w14:textId="77777777" w:rsidR="002346AC" w:rsidRPr="00F67E3F" w:rsidRDefault="00000000">
      <w:pPr>
        <w:spacing w:before="90" w:after="60"/>
        <w:jc w:val="both"/>
      </w:pPr>
      <w:r w:rsidRPr="00F67E3F">
        <w:rPr>
          <w:b/>
          <w:bCs/>
          <w:color w:val="006969"/>
        </w:rPr>
        <w:t xml:space="preserve">Performance Attribution. </w:t>
      </w:r>
      <w:r w:rsidRPr="00F67E3F">
        <w:t>Past performance of the Portfolio Manager, the strategy, or similar products does not guarantee future performance. Returns shown are computed using the Time Weighted Rate of Return (TWRR) methodology in line with SEBI's circular dated 02-December-2022. Direct plan returns are gross of all distribution / commission charges but net of fund-level expenses (TER). Individual investor returns may differ owing to timing of inflows/outflows and portfolio composition differences.</w:t>
      </w:r>
    </w:p>
    <w:p w14:paraId="01A9B668" w14:textId="77777777" w:rsidR="002346AC" w:rsidRPr="00F67E3F" w:rsidRDefault="00000000">
      <w:pPr>
        <w:spacing w:before="90" w:after="60"/>
        <w:jc w:val="both"/>
      </w:pPr>
      <w:r w:rsidRPr="00F67E3F">
        <w:rPr>
          <w:b/>
          <w:bCs/>
          <w:color w:val="006969"/>
        </w:rPr>
        <w:t xml:space="preserve">Tax, Legal &amp; Advisory. </w:t>
      </w:r>
      <w:r w:rsidRPr="00F67E3F">
        <w:t>Prospective investors are advised to seek independent professional legal, accounting and tax advice before deciding on any investment or disinvestment. AMPL Asset Management may have financial or business interests that could affect the objectivity of the views expressed in this document. The document is for informational purposes only and does not constitute an offer, solicitation, recommendation, or invitation to purchase or sell any investment product.</w:t>
      </w:r>
    </w:p>
    <w:p w14:paraId="66C755DF" w14:textId="77777777" w:rsidR="002346AC" w:rsidRPr="00F67E3F" w:rsidRDefault="00000000">
      <w:pPr>
        <w:spacing w:before="90" w:after="60"/>
        <w:jc w:val="both"/>
      </w:pPr>
      <w:r w:rsidRPr="00F67E3F">
        <w:rPr>
          <w:b/>
          <w:bCs/>
          <w:color w:val="006969"/>
        </w:rPr>
        <w:t xml:space="preserve">SEBI Disclosure. </w:t>
      </w:r>
      <w:r w:rsidRPr="00F67E3F">
        <w:t>This document has neither been approved nor disapproved by SEBI, nor has SEBI certified the accuracy or adequacy of its contents. The portfolio data and performance figures shown are as uploaded on the SEBI / APMI website as on the cover date. For peer comparison within the strategy category, please refer to: www.apmiindia.org/apmi/welcomeiaperformance.htm?action=PMSmenu. Clients have the option to onboard AMPL Asset Management PMS either directly or through a SEBI-registered distributor.</w:t>
      </w:r>
    </w:p>
    <w:p w14:paraId="08363EA8" w14:textId="77777777" w:rsidR="002346AC" w:rsidRPr="00F67E3F" w:rsidRDefault="00000000">
      <w:pPr>
        <w:spacing w:before="90" w:after="60"/>
        <w:jc w:val="both"/>
      </w:pPr>
      <w:r w:rsidRPr="00F67E3F">
        <w:rPr>
          <w:b/>
          <w:bCs/>
          <w:color w:val="006969"/>
        </w:rPr>
        <w:t xml:space="preserve">Liability &amp; Confidentiality. </w:t>
      </w:r>
      <w:r w:rsidRPr="00F67E3F">
        <w:t>AMPL Asset Management is not liable for any losses arising from investment / disinvestment decisions made on the basis of communications received, nor for losses arising from incorrect or misleading instructions issued by clients, whether oral or written. This document is strictly confidential and intended only for the addressee; unauthorised reproduction, distribution, or use of the contents is prohibited. For the full Disclosure Document and risk factors, please contact the Portfolio Manager or visit www.amplcapital.com.</w:t>
      </w:r>
    </w:p>
    <w:p w14:paraId="5098B288" w14:textId="77777777" w:rsidR="004441EB" w:rsidRDefault="004441EB">
      <w:pPr>
        <w:rPr>
          <w:b/>
          <w:bCs/>
          <w:color w:val="006969"/>
        </w:rPr>
      </w:pPr>
    </w:p>
    <w:p w14:paraId="36D3AC93" w14:textId="77777777" w:rsidR="004441EB" w:rsidRDefault="004441EB">
      <w:pPr>
        <w:rPr>
          <w:b/>
          <w:bCs/>
          <w:color w:val="006969"/>
        </w:rPr>
      </w:pPr>
    </w:p>
    <w:p w14:paraId="4B69D8C8" w14:textId="77777777" w:rsidR="004441EB" w:rsidRDefault="004441EB"/>
    <w:tbl>
      <w:tblPr>
        <w:tblW w:w="10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650"/>
      </w:tblGrid>
      <w:tr w:rsidR="002346AC" w14:paraId="604BC3C3" w14:textId="77777777" w:rsidTr="004441EB">
        <w:trPr>
          <w:trHeight w:val="663"/>
        </w:trPr>
        <w:tc>
          <w:tcPr>
            <w:tcW w:w="10650" w:type="dxa"/>
            <w:tcBorders>
              <w:top w:val="none" w:sz="0" w:space="0" w:color="FFFFFF"/>
              <w:left w:val="none" w:sz="0" w:space="0" w:color="FFFFFF"/>
              <w:bottom w:val="none" w:sz="0" w:space="0" w:color="FFFFFF"/>
              <w:right w:val="none" w:sz="0" w:space="0" w:color="FFFFFF"/>
            </w:tcBorders>
            <w:shd w:val="clear" w:color="auto" w:fill="006969"/>
            <w:tcMar>
              <w:top w:w="130" w:type="dxa"/>
              <w:left w:w="220" w:type="dxa"/>
              <w:bottom w:w="130" w:type="dxa"/>
              <w:right w:w="220" w:type="dxa"/>
            </w:tcMar>
            <w:vAlign w:val="center"/>
          </w:tcPr>
          <w:p w14:paraId="2F48DBF0" w14:textId="77777777" w:rsidR="002346AC" w:rsidRDefault="00000000">
            <w:pPr>
              <w:spacing w:after="30"/>
              <w:jc w:val="center"/>
            </w:pPr>
            <w:r>
              <w:rPr>
                <w:b/>
                <w:bCs/>
                <w:color w:val="FFFFFF"/>
              </w:rPr>
              <w:t>AMPL Asset Management Services Pvt Ltd</w:t>
            </w:r>
          </w:p>
          <w:p w14:paraId="192A6280" w14:textId="77777777" w:rsidR="002346AC" w:rsidRDefault="00000000">
            <w:pPr>
              <w:spacing w:after="30"/>
              <w:jc w:val="center"/>
            </w:pPr>
            <w:r>
              <w:rPr>
                <w:color w:val="F5F4EC"/>
                <w:sz w:val="13"/>
                <w:szCs w:val="13"/>
              </w:rPr>
              <w:t xml:space="preserve">306, B2, Shubham Centre, Cardinal Gracious Road, </w:t>
            </w:r>
            <w:proofErr w:type="spellStart"/>
            <w:r>
              <w:rPr>
                <w:color w:val="F5F4EC"/>
                <w:sz w:val="13"/>
                <w:szCs w:val="13"/>
              </w:rPr>
              <w:t>Chakala</w:t>
            </w:r>
            <w:proofErr w:type="spellEnd"/>
            <w:r>
              <w:rPr>
                <w:color w:val="F5F4EC"/>
                <w:sz w:val="13"/>
                <w:szCs w:val="13"/>
              </w:rPr>
              <w:t>, Andheri (East), Mumbai – 400099, Maharashtra</w:t>
            </w:r>
          </w:p>
          <w:p w14:paraId="0A1199F3" w14:textId="77777777" w:rsidR="002346AC" w:rsidRDefault="00000000">
            <w:pPr>
              <w:spacing w:after="30"/>
              <w:jc w:val="center"/>
            </w:pPr>
            <w:r>
              <w:rPr>
                <w:color w:val="F5F4EC"/>
                <w:sz w:val="13"/>
                <w:szCs w:val="13"/>
              </w:rPr>
              <w:t xml:space="preserve">PAN: AAGCB0414J   |   SEBI PMS: INP000006101   |   SEBI RIA: INA000018294   |   </w:t>
            </w:r>
            <w:r>
              <w:rPr>
                <w:b/>
                <w:bCs/>
                <w:color w:val="F5F4EC"/>
                <w:sz w:val="13"/>
                <w:szCs w:val="13"/>
              </w:rPr>
              <w:t>www.amplcapital.com</w:t>
            </w:r>
          </w:p>
        </w:tc>
      </w:tr>
    </w:tbl>
    <w:p w14:paraId="55A1EA6D" w14:textId="77777777" w:rsidR="002346AC" w:rsidRDefault="002346AC"/>
    <w:p w14:paraId="3FAB4897" w14:textId="2DC329F0" w:rsidR="002346AC" w:rsidRDefault="00000000">
      <w:pPr>
        <w:spacing w:before="40"/>
        <w:jc w:val="center"/>
      </w:pPr>
      <w:r>
        <w:rPr>
          <w:b/>
          <w:bCs/>
          <w:color w:val="006969"/>
          <w:sz w:val="12"/>
          <w:szCs w:val="12"/>
        </w:rPr>
        <w:t>.</w:t>
      </w:r>
    </w:p>
    <w:sectPr w:rsidR="002346AC" w:rsidSect="004441EB">
      <w:footerReference w:type="default" r:id="rId9"/>
      <w:pgSz w:w="12240" w:h="15840"/>
      <w:pgMar w:top="522" w:right="851" w:bottom="601" w:left="85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CBCF8" w14:textId="77777777" w:rsidR="006725B9" w:rsidRDefault="006725B9">
      <w:r>
        <w:separator/>
      </w:r>
    </w:p>
  </w:endnote>
  <w:endnote w:type="continuationSeparator" w:id="0">
    <w:p w14:paraId="11C4E589" w14:textId="77777777" w:rsidR="006725B9" w:rsidRDefault="00672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nrope Ligh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47D32" w14:textId="77777777" w:rsidR="002346AC" w:rsidRDefault="00000000">
    <w:pPr>
      <w:pBdr>
        <w:top w:val="single" w:sz="8" w:space="4" w:color="C8960C"/>
      </w:pBdr>
      <w:jc w:val="center"/>
    </w:pPr>
    <w:r>
      <w:rPr>
        <w:color w:val="666666"/>
        <w:sz w:val="12"/>
        <w:szCs w:val="12"/>
      </w:rPr>
      <w:t xml:space="preserve">AMPL Asset Management Services Pvt Ltd  |  SEBI PMS INP000006101  |  </w:t>
    </w:r>
    <w:r>
      <w:rPr>
        <w:b/>
        <w:bCs/>
        <w:color w:val="006969"/>
        <w:sz w:val="12"/>
        <w:szCs w:val="12"/>
      </w:rPr>
      <w:t>STRICTLY CONFIDENTIAL — FOR PRIVATE CIRCULATION ONLY</w:t>
    </w:r>
    <w:r>
      <w:rPr>
        <w:color w:val="666666"/>
        <w:sz w:val="12"/>
        <w:szCs w:val="12"/>
      </w:rPr>
      <w:t xml:space="preserve">  |  Page </w:t>
    </w:r>
    <w:r>
      <w:rPr>
        <w:color w:val="666666"/>
        <w:sz w:val="12"/>
        <w:szCs w:val="12"/>
      </w:rPr>
      <w:fldChar w:fldCharType="begin"/>
    </w:r>
    <w:r>
      <w:rPr>
        <w:color w:val="666666"/>
        <w:sz w:val="12"/>
        <w:szCs w:val="12"/>
      </w:rPr>
      <w:instrText>PAGE</w:instrText>
    </w:r>
    <w:r>
      <w:rPr>
        <w:color w:val="666666"/>
        <w:sz w:val="12"/>
        <w:szCs w:val="12"/>
      </w:rPr>
      <w:fldChar w:fldCharType="separate"/>
    </w:r>
    <w:r w:rsidR="00324390">
      <w:rPr>
        <w:noProof/>
        <w:color w:val="666666"/>
        <w:sz w:val="12"/>
        <w:szCs w:val="12"/>
      </w:rPr>
      <w:t>1</w:t>
    </w:r>
    <w:r>
      <w:rPr>
        <w:color w:val="666666"/>
        <w:sz w:val="12"/>
        <w:szCs w:val="12"/>
      </w:rPr>
      <w:fldChar w:fldCharType="end"/>
    </w:r>
    <w:r>
      <w:rPr>
        <w:color w:val="666666"/>
        <w:sz w:val="12"/>
        <w:szCs w:val="12"/>
      </w:rPr>
      <w:t xml:space="preserve"> of </w:t>
    </w:r>
    <w:r>
      <w:rPr>
        <w:color w:val="666666"/>
        <w:sz w:val="12"/>
        <w:szCs w:val="12"/>
      </w:rPr>
      <w:fldChar w:fldCharType="begin"/>
    </w:r>
    <w:r>
      <w:rPr>
        <w:color w:val="666666"/>
        <w:sz w:val="12"/>
        <w:szCs w:val="12"/>
      </w:rPr>
      <w:instrText>NUMPAGES</w:instrText>
    </w:r>
    <w:r>
      <w:rPr>
        <w:color w:val="666666"/>
        <w:sz w:val="12"/>
        <w:szCs w:val="12"/>
      </w:rPr>
      <w:fldChar w:fldCharType="separate"/>
    </w:r>
    <w:r w:rsidR="00324390">
      <w:rPr>
        <w:noProof/>
        <w:color w:val="666666"/>
        <w:sz w:val="12"/>
        <w:szCs w:val="12"/>
      </w:rPr>
      <w:t>2</w:t>
    </w:r>
    <w:r>
      <w:rPr>
        <w:color w:val="666666"/>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DD210" w14:textId="77777777" w:rsidR="006725B9" w:rsidRDefault="006725B9">
      <w:r>
        <w:separator/>
      </w:r>
    </w:p>
  </w:footnote>
  <w:footnote w:type="continuationSeparator" w:id="0">
    <w:p w14:paraId="1F2BE1BD" w14:textId="77777777" w:rsidR="006725B9" w:rsidRDefault="006725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3300F6"/>
    <w:multiLevelType w:val="hybridMultilevel"/>
    <w:tmpl w:val="FF02B402"/>
    <w:lvl w:ilvl="0" w:tplc="439298F0">
      <w:start w:val="1"/>
      <w:numFmt w:val="bullet"/>
      <w:lvlText w:val="▸"/>
      <w:lvlJc w:val="left"/>
      <w:pPr>
        <w:ind w:left="380" w:hanging="260"/>
      </w:pPr>
      <w:rPr>
        <w:b/>
        <w:bCs/>
        <w:color w:val="CCB280"/>
      </w:rPr>
    </w:lvl>
    <w:lvl w:ilvl="1" w:tplc="940E8126">
      <w:numFmt w:val="decimal"/>
      <w:lvlText w:val=""/>
      <w:lvlJc w:val="left"/>
    </w:lvl>
    <w:lvl w:ilvl="2" w:tplc="2B0832B0">
      <w:numFmt w:val="decimal"/>
      <w:lvlText w:val=""/>
      <w:lvlJc w:val="left"/>
    </w:lvl>
    <w:lvl w:ilvl="3" w:tplc="1B7A8C36">
      <w:numFmt w:val="decimal"/>
      <w:lvlText w:val=""/>
      <w:lvlJc w:val="left"/>
    </w:lvl>
    <w:lvl w:ilvl="4" w:tplc="5BAC482C">
      <w:numFmt w:val="decimal"/>
      <w:lvlText w:val=""/>
      <w:lvlJc w:val="left"/>
    </w:lvl>
    <w:lvl w:ilvl="5" w:tplc="1B5CF924">
      <w:numFmt w:val="decimal"/>
      <w:lvlText w:val=""/>
      <w:lvlJc w:val="left"/>
    </w:lvl>
    <w:lvl w:ilvl="6" w:tplc="A44475B4">
      <w:numFmt w:val="decimal"/>
      <w:lvlText w:val=""/>
      <w:lvlJc w:val="left"/>
    </w:lvl>
    <w:lvl w:ilvl="7" w:tplc="189C92EC">
      <w:numFmt w:val="decimal"/>
      <w:lvlText w:val=""/>
      <w:lvlJc w:val="left"/>
    </w:lvl>
    <w:lvl w:ilvl="8" w:tplc="CD061740">
      <w:numFmt w:val="decimal"/>
      <w:lvlText w:val=""/>
      <w:lvlJc w:val="left"/>
    </w:lvl>
  </w:abstractNum>
  <w:abstractNum w:abstractNumId="1" w15:restartNumberingAfterBreak="0">
    <w:nsid w:val="4FAA63C9"/>
    <w:multiLevelType w:val="hybridMultilevel"/>
    <w:tmpl w:val="B8A8A1C8"/>
    <w:lvl w:ilvl="0" w:tplc="1F5668A6">
      <w:start w:val="1"/>
      <w:numFmt w:val="bullet"/>
      <w:lvlText w:val="●"/>
      <w:lvlJc w:val="left"/>
      <w:pPr>
        <w:ind w:left="720" w:hanging="360"/>
      </w:pPr>
    </w:lvl>
    <w:lvl w:ilvl="1" w:tplc="0B622A64">
      <w:start w:val="1"/>
      <w:numFmt w:val="bullet"/>
      <w:lvlText w:val="○"/>
      <w:lvlJc w:val="left"/>
      <w:pPr>
        <w:ind w:left="1440" w:hanging="360"/>
      </w:pPr>
    </w:lvl>
    <w:lvl w:ilvl="2" w:tplc="B6CC1F1C">
      <w:start w:val="1"/>
      <w:numFmt w:val="bullet"/>
      <w:lvlText w:val="■"/>
      <w:lvlJc w:val="left"/>
      <w:pPr>
        <w:ind w:left="2160" w:hanging="360"/>
      </w:pPr>
    </w:lvl>
    <w:lvl w:ilvl="3" w:tplc="B510BA66">
      <w:start w:val="1"/>
      <w:numFmt w:val="bullet"/>
      <w:lvlText w:val="●"/>
      <w:lvlJc w:val="left"/>
      <w:pPr>
        <w:ind w:left="2880" w:hanging="360"/>
      </w:pPr>
    </w:lvl>
    <w:lvl w:ilvl="4" w:tplc="948A136E">
      <w:start w:val="1"/>
      <w:numFmt w:val="bullet"/>
      <w:lvlText w:val="○"/>
      <w:lvlJc w:val="left"/>
      <w:pPr>
        <w:ind w:left="3600" w:hanging="360"/>
      </w:pPr>
    </w:lvl>
    <w:lvl w:ilvl="5" w:tplc="D39A70B6">
      <w:start w:val="1"/>
      <w:numFmt w:val="bullet"/>
      <w:lvlText w:val="■"/>
      <w:lvlJc w:val="left"/>
      <w:pPr>
        <w:ind w:left="4320" w:hanging="360"/>
      </w:pPr>
    </w:lvl>
    <w:lvl w:ilvl="6" w:tplc="8ACEA9AA">
      <w:start w:val="1"/>
      <w:numFmt w:val="bullet"/>
      <w:lvlText w:val="●"/>
      <w:lvlJc w:val="left"/>
      <w:pPr>
        <w:ind w:left="5040" w:hanging="360"/>
      </w:pPr>
    </w:lvl>
    <w:lvl w:ilvl="7" w:tplc="8A5C6C94">
      <w:start w:val="1"/>
      <w:numFmt w:val="bullet"/>
      <w:lvlText w:val="●"/>
      <w:lvlJc w:val="left"/>
      <w:pPr>
        <w:ind w:left="5760" w:hanging="360"/>
      </w:pPr>
    </w:lvl>
    <w:lvl w:ilvl="8" w:tplc="DF86C436">
      <w:start w:val="1"/>
      <w:numFmt w:val="bullet"/>
      <w:lvlText w:val="●"/>
      <w:lvlJc w:val="left"/>
      <w:pPr>
        <w:ind w:left="6480" w:hanging="360"/>
      </w:pPr>
    </w:lvl>
  </w:abstractNum>
  <w:num w:numId="1" w16cid:durableId="125817479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6AC"/>
    <w:rsid w:val="00000F8C"/>
    <w:rsid w:val="00052A5B"/>
    <w:rsid w:val="000625CA"/>
    <w:rsid w:val="0006268A"/>
    <w:rsid w:val="000633E5"/>
    <w:rsid w:val="00084459"/>
    <w:rsid w:val="000A0540"/>
    <w:rsid w:val="000B556C"/>
    <w:rsid w:val="000D3F36"/>
    <w:rsid w:val="00130542"/>
    <w:rsid w:val="00142771"/>
    <w:rsid w:val="002346AC"/>
    <w:rsid w:val="00251E64"/>
    <w:rsid w:val="00270B9D"/>
    <w:rsid w:val="002769C0"/>
    <w:rsid w:val="00277828"/>
    <w:rsid w:val="002A146E"/>
    <w:rsid w:val="002C0574"/>
    <w:rsid w:val="002C61C1"/>
    <w:rsid w:val="002F6C34"/>
    <w:rsid w:val="003126CA"/>
    <w:rsid w:val="00324390"/>
    <w:rsid w:val="00361A03"/>
    <w:rsid w:val="00364655"/>
    <w:rsid w:val="00375E12"/>
    <w:rsid w:val="00387D5B"/>
    <w:rsid w:val="003B4419"/>
    <w:rsid w:val="003B68CC"/>
    <w:rsid w:val="003C7CBF"/>
    <w:rsid w:val="003D4960"/>
    <w:rsid w:val="003E1BCC"/>
    <w:rsid w:val="00420A30"/>
    <w:rsid w:val="00425F3C"/>
    <w:rsid w:val="00434B98"/>
    <w:rsid w:val="004441EB"/>
    <w:rsid w:val="004B3702"/>
    <w:rsid w:val="004F7190"/>
    <w:rsid w:val="00505EE0"/>
    <w:rsid w:val="00511A21"/>
    <w:rsid w:val="00524E1B"/>
    <w:rsid w:val="00525D09"/>
    <w:rsid w:val="005737DD"/>
    <w:rsid w:val="00595EF2"/>
    <w:rsid w:val="005A4859"/>
    <w:rsid w:val="005F534E"/>
    <w:rsid w:val="006066A8"/>
    <w:rsid w:val="00611CA8"/>
    <w:rsid w:val="0063106B"/>
    <w:rsid w:val="00640080"/>
    <w:rsid w:val="0064681B"/>
    <w:rsid w:val="006725B9"/>
    <w:rsid w:val="00691CBE"/>
    <w:rsid w:val="0070532E"/>
    <w:rsid w:val="00770085"/>
    <w:rsid w:val="00780A23"/>
    <w:rsid w:val="007C160C"/>
    <w:rsid w:val="007C5C90"/>
    <w:rsid w:val="007F1990"/>
    <w:rsid w:val="00884881"/>
    <w:rsid w:val="008A0FDC"/>
    <w:rsid w:val="008B29A8"/>
    <w:rsid w:val="008C0F40"/>
    <w:rsid w:val="008C5989"/>
    <w:rsid w:val="008C77DA"/>
    <w:rsid w:val="008D3D56"/>
    <w:rsid w:val="00923AD3"/>
    <w:rsid w:val="00951101"/>
    <w:rsid w:val="00970AE1"/>
    <w:rsid w:val="009E1DEA"/>
    <w:rsid w:val="00A165E2"/>
    <w:rsid w:val="00A65A3A"/>
    <w:rsid w:val="00A9127A"/>
    <w:rsid w:val="00A95E60"/>
    <w:rsid w:val="00B3261D"/>
    <w:rsid w:val="00B53AEB"/>
    <w:rsid w:val="00B57A7B"/>
    <w:rsid w:val="00BA427F"/>
    <w:rsid w:val="00BC1E62"/>
    <w:rsid w:val="00BE0C67"/>
    <w:rsid w:val="00BE5384"/>
    <w:rsid w:val="00C03D8B"/>
    <w:rsid w:val="00C17A3C"/>
    <w:rsid w:val="00C26CC3"/>
    <w:rsid w:val="00C74C2A"/>
    <w:rsid w:val="00CC2C69"/>
    <w:rsid w:val="00CD2E76"/>
    <w:rsid w:val="00D43CAD"/>
    <w:rsid w:val="00D649E5"/>
    <w:rsid w:val="00D7033A"/>
    <w:rsid w:val="00D83E98"/>
    <w:rsid w:val="00D879CE"/>
    <w:rsid w:val="00DA49DB"/>
    <w:rsid w:val="00E47EA6"/>
    <w:rsid w:val="00E86B03"/>
    <w:rsid w:val="00EB4313"/>
    <w:rsid w:val="00F07C11"/>
    <w:rsid w:val="00F1256D"/>
    <w:rsid w:val="00F26A80"/>
    <w:rsid w:val="00F54C8B"/>
    <w:rsid w:val="00F67E3F"/>
    <w:rsid w:val="00F9232C"/>
    <w:rsid w:val="00F93DB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DDB7F"/>
  <w15:docId w15:val="{1774393D-963E-47EF-A691-F070952E0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anrope Light" w:eastAsia="Arial" w:hAnsi="Manrope Light" w:cs="Manrope Light"/>
        <w:color w:val="1F2937"/>
        <w:sz w:val="17"/>
        <w:szCs w:val="17"/>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028078"/>
      <w:sz w:val="32"/>
      <w:szCs w:val="32"/>
    </w:rPr>
  </w:style>
  <w:style w:type="paragraph" w:styleId="Heading2">
    <w:name w:val="heading 2"/>
    <w:uiPriority w:val="9"/>
    <w:semiHidden/>
    <w:unhideWhenUsed/>
    <w:qFormat/>
    <w:pPr>
      <w:outlineLvl w:val="1"/>
    </w:pPr>
    <w:rPr>
      <w:color w:val="028078"/>
      <w:sz w:val="26"/>
      <w:szCs w:val="26"/>
    </w:rPr>
  </w:style>
  <w:style w:type="paragraph" w:styleId="Heading3">
    <w:name w:val="heading 3"/>
    <w:uiPriority w:val="9"/>
    <w:semiHidden/>
    <w:unhideWhenUsed/>
    <w:qFormat/>
    <w:pPr>
      <w:outlineLvl w:val="2"/>
    </w:pPr>
    <w:rPr>
      <w:color w:val="028078"/>
      <w:sz w:val="24"/>
      <w:szCs w:val="24"/>
    </w:rPr>
  </w:style>
  <w:style w:type="paragraph" w:styleId="Heading4">
    <w:name w:val="heading 4"/>
    <w:uiPriority w:val="9"/>
    <w:semiHidden/>
    <w:unhideWhenUsed/>
    <w:qFormat/>
    <w:pPr>
      <w:outlineLvl w:val="3"/>
    </w:pPr>
    <w:rPr>
      <w:i/>
      <w:iCs/>
      <w:color w:val="028078"/>
    </w:rPr>
  </w:style>
  <w:style w:type="paragraph" w:styleId="Heading5">
    <w:name w:val="heading 5"/>
    <w:uiPriority w:val="9"/>
    <w:semiHidden/>
    <w:unhideWhenUsed/>
    <w:qFormat/>
    <w:pPr>
      <w:outlineLvl w:val="4"/>
    </w:pPr>
    <w:rPr>
      <w:color w:val="028078"/>
    </w:rPr>
  </w:style>
  <w:style w:type="paragraph" w:styleId="Heading6">
    <w:name w:val="heading 6"/>
    <w:uiPriority w:val="9"/>
    <w:semiHidden/>
    <w:unhideWhenUsed/>
    <w:qFormat/>
    <w:pPr>
      <w:outlineLvl w:val="5"/>
    </w:pPr>
    <w:rPr>
      <w:color w:val="0280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Downloads\Fincart%20PPT%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Downloads\Fincart%20PPT%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doughnutChart>
        <c:varyColors val="1"/>
        <c:ser>
          <c:idx val="0"/>
          <c:order val="0"/>
          <c:tx>
            <c:strRef>
              <c:f>Sheet1!$B$9</c:f>
              <c:strCache>
                <c:ptCount val="1"/>
                <c:pt idx="0">
                  <c:v>Weight</c:v>
                </c:pt>
              </c:strCache>
            </c:strRef>
          </c:tx>
          <c:dPt>
            <c:idx val="0"/>
            <c:bubble3D val="0"/>
            <c:spPr>
              <a:solidFill>
                <a:schemeClr val="accent1">
                  <a:shade val="53000"/>
                </a:schemeClr>
              </a:solidFill>
              <a:ln w="19050">
                <a:solidFill>
                  <a:schemeClr val="lt1"/>
                </a:solidFill>
              </a:ln>
              <a:effectLst/>
            </c:spPr>
            <c:extLst>
              <c:ext xmlns:c16="http://schemas.microsoft.com/office/drawing/2014/chart" uri="{C3380CC4-5D6E-409C-BE32-E72D297353CC}">
                <c16:uniqueId val="{00000001-78DA-4D64-B4C4-8E8593583519}"/>
              </c:ext>
            </c:extLst>
          </c:dPt>
          <c:dPt>
            <c:idx val="1"/>
            <c:bubble3D val="0"/>
            <c:spPr>
              <a:solidFill>
                <a:schemeClr val="accent1">
                  <a:shade val="76000"/>
                </a:schemeClr>
              </a:solidFill>
              <a:ln w="19050">
                <a:solidFill>
                  <a:schemeClr val="lt1"/>
                </a:solidFill>
              </a:ln>
              <a:effectLst/>
            </c:spPr>
            <c:extLst>
              <c:ext xmlns:c16="http://schemas.microsoft.com/office/drawing/2014/chart" uri="{C3380CC4-5D6E-409C-BE32-E72D297353CC}">
                <c16:uniqueId val="{00000003-78DA-4D64-B4C4-8E8593583519}"/>
              </c:ext>
            </c:extLst>
          </c:dPt>
          <c:dPt>
            <c:idx val="2"/>
            <c:bubble3D val="0"/>
            <c:spPr>
              <a:solidFill>
                <a:schemeClr val="accent1"/>
              </a:solidFill>
              <a:ln w="19050">
                <a:solidFill>
                  <a:schemeClr val="lt1"/>
                </a:solidFill>
              </a:ln>
              <a:effectLst/>
            </c:spPr>
            <c:extLst>
              <c:ext xmlns:c16="http://schemas.microsoft.com/office/drawing/2014/chart" uri="{C3380CC4-5D6E-409C-BE32-E72D297353CC}">
                <c16:uniqueId val="{00000005-78DA-4D64-B4C4-8E8593583519}"/>
              </c:ext>
            </c:extLst>
          </c:dPt>
          <c:dPt>
            <c:idx val="3"/>
            <c:bubble3D val="0"/>
            <c:spPr>
              <a:solidFill>
                <a:schemeClr val="accent1">
                  <a:tint val="77000"/>
                </a:schemeClr>
              </a:solidFill>
              <a:ln w="19050">
                <a:solidFill>
                  <a:schemeClr val="lt1"/>
                </a:solidFill>
              </a:ln>
              <a:effectLst/>
            </c:spPr>
            <c:extLst>
              <c:ext xmlns:c16="http://schemas.microsoft.com/office/drawing/2014/chart" uri="{C3380CC4-5D6E-409C-BE32-E72D297353CC}">
                <c16:uniqueId val="{00000007-78DA-4D64-B4C4-8E8593583519}"/>
              </c:ext>
            </c:extLst>
          </c:dPt>
          <c:dPt>
            <c:idx val="4"/>
            <c:bubble3D val="0"/>
            <c:spPr>
              <a:solidFill>
                <a:schemeClr val="accent1">
                  <a:tint val="54000"/>
                </a:schemeClr>
              </a:solidFill>
              <a:ln w="19050">
                <a:solidFill>
                  <a:schemeClr val="lt1"/>
                </a:solidFill>
              </a:ln>
              <a:effectLst/>
            </c:spPr>
            <c:extLst>
              <c:ext xmlns:c16="http://schemas.microsoft.com/office/drawing/2014/chart" uri="{C3380CC4-5D6E-409C-BE32-E72D297353CC}">
                <c16:uniqueId val="{00000009-78DA-4D64-B4C4-8E8593583519}"/>
              </c:ext>
            </c:extLst>
          </c:dPt>
          <c:dLbls>
            <c:dLbl>
              <c:idx val="1"/>
              <c:layout>
                <c:manualLayout>
                  <c:x val="1.179941002949852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8DA-4D64-B4C4-8E8593583519}"/>
                </c:ext>
              </c:extLst>
            </c:dLbl>
            <c:spPr>
              <a:noFill/>
              <a:ln>
                <a:noFill/>
              </a:ln>
              <a:effectLst/>
            </c:spPr>
            <c:txPr>
              <a:bodyPr rot="0" spcFirstLastPara="1" vertOverflow="ellipsis" vert="horz" wrap="square" lIns="38100" tIns="19050" rIns="38100" bIns="19050" anchor="ctr" anchorCtr="1">
                <a:spAutoFit/>
              </a:bodyPr>
              <a:lstStyle/>
              <a:p>
                <a:pPr>
                  <a:defRPr sz="500" b="0" i="0" u="none" strike="noStrike" kern="1200" baseline="0">
                    <a:solidFill>
                      <a:schemeClr val="bg1"/>
                    </a:solidFill>
                    <a:latin typeface="Manrope Light" panose="020B0604020202020204" pitchFamily="34" charset="0"/>
                    <a:ea typeface="+mn-ea"/>
                    <a:cs typeface="Manrope Light" panose="020B0604020202020204" pitchFamily="34"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Sheet1!$A$10:$A$14</c:f>
              <c:strCache>
                <c:ptCount val="5"/>
                <c:pt idx="0">
                  <c:v>Domestic Equity MF</c:v>
                </c:pt>
                <c:pt idx="1">
                  <c:v>International Equity</c:v>
                </c:pt>
                <c:pt idx="2">
                  <c:v>Commodities (Gold + Nat Res)</c:v>
                </c:pt>
                <c:pt idx="3">
                  <c:v>Debt Mutual Funds</c:v>
                </c:pt>
                <c:pt idx="4">
                  <c:v>Cash &amp; Equivalent</c:v>
                </c:pt>
              </c:strCache>
            </c:strRef>
          </c:cat>
          <c:val>
            <c:numRef>
              <c:f>Sheet1!$B$10:$B$14</c:f>
              <c:numCache>
                <c:formatCode>0.00%</c:formatCode>
                <c:ptCount val="5"/>
                <c:pt idx="0">
                  <c:v>0.60399999999999998</c:v>
                </c:pt>
                <c:pt idx="1">
                  <c:v>3.9E-2</c:v>
                </c:pt>
                <c:pt idx="2">
                  <c:v>0.1027</c:v>
                </c:pt>
                <c:pt idx="3">
                  <c:v>0.13109999999999999</c:v>
                </c:pt>
                <c:pt idx="4">
                  <c:v>0.12330000000000001</c:v>
                </c:pt>
              </c:numCache>
            </c:numRef>
          </c:val>
          <c:extLst>
            <c:ext xmlns:c16="http://schemas.microsoft.com/office/drawing/2014/chart" uri="{C3380CC4-5D6E-409C-BE32-E72D297353CC}">
              <c16:uniqueId val="{0000000A-78DA-4D64-B4C4-8E8593583519}"/>
            </c:ext>
          </c:extLst>
        </c:ser>
        <c:dLbls>
          <c:showLegendKey val="0"/>
          <c:showVal val="1"/>
          <c:showCatName val="0"/>
          <c:showSerName val="0"/>
          <c:showPercent val="0"/>
          <c:showBubbleSize val="0"/>
          <c:showLeaderLines val="1"/>
        </c:dLbls>
        <c:firstSliceAng val="0"/>
        <c:holeSize val="75"/>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Top 5 Allocation (%)</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9093744784792075"/>
          <c:y val="0.17171296296296296"/>
          <c:w val="0.70906255215207925"/>
          <c:h val="0.77736111111111106"/>
        </c:manualLayout>
      </c:layout>
      <c:barChart>
        <c:barDir val="bar"/>
        <c:grouping val="clustered"/>
        <c:varyColors val="0"/>
        <c:ser>
          <c:idx val="0"/>
          <c:order val="0"/>
          <c:tx>
            <c:strRef>
              <c:f>Sheet1!$B$1</c:f>
              <c:strCache>
                <c:ptCount val="1"/>
                <c:pt idx="0">
                  <c:v>Allocation </c:v>
                </c:pt>
              </c:strCache>
            </c:strRef>
          </c:tx>
          <c:spPr>
            <a:solidFill>
              <a:schemeClr val="tx2">
                <a:lumMod val="90000"/>
                <a:lumOff val="1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ICICI Pru Regular Gold Savings FOF</c:v>
                </c:pt>
                <c:pt idx="1">
                  <c:v>BANDHAN SMALL CAP FUND</c:v>
                </c:pt>
                <c:pt idx="2">
                  <c:v>ICICI Prudential India Opportunities Fund</c:v>
                </c:pt>
                <c:pt idx="3">
                  <c:v>ITI Small Cap Fund - Direct Growth</c:v>
                </c:pt>
                <c:pt idx="4">
                  <c:v>SBI FOCUSED EQUITY FUND</c:v>
                </c:pt>
              </c:strCache>
            </c:strRef>
          </c:cat>
          <c:val>
            <c:numRef>
              <c:f>Sheet1!$B$2:$B$6</c:f>
              <c:numCache>
                <c:formatCode>0.00%</c:formatCode>
                <c:ptCount val="5"/>
                <c:pt idx="0">
                  <c:v>5.6599999999999998E-2</c:v>
                </c:pt>
                <c:pt idx="1">
                  <c:v>6.7000000000000004E-2</c:v>
                </c:pt>
                <c:pt idx="2">
                  <c:v>8.1900000000000001E-2</c:v>
                </c:pt>
                <c:pt idx="3">
                  <c:v>8.6999999999999994E-2</c:v>
                </c:pt>
                <c:pt idx="4">
                  <c:v>0.12470000000000001</c:v>
                </c:pt>
              </c:numCache>
            </c:numRef>
          </c:val>
          <c:extLst>
            <c:ext xmlns:c16="http://schemas.microsoft.com/office/drawing/2014/chart" uri="{C3380CC4-5D6E-409C-BE32-E72D297353CC}">
              <c16:uniqueId val="{00000000-9168-4FA3-86D8-ED5584F47C49}"/>
            </c:ext>
          </c:extLst>
        </c:ser>
        <c:dLbls>
          <c:dLblPos val="outEnd"/>
          <c:showLegendKey val="0"/>
          <c:showVal val="1"/>
          <c:showCatName val="0"/>
          <c:showSerName val="0"/>
          <c:showPercent val="0"/>
          <c:showBubbleSize val="0"/>
        </c:dLbls>
        <c:gapWidth val="182"/>
        <c:axId val="787294864"/>
        <c:axId val="787284304"/>
      </c:barChart>
      <c:catAx>
        <c:axId val="78729486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787284304"/>
        <c:crosses val="autoZero"/>
        <c:auto val="1"/>
        <c:lblAlgn val="ctr"/>
        <c:lblOffset val="100"/>
        <c:noMultiLvlLbl val="0"/>
      </c:catAx>
      <c:valAx>
        <c:axId val="787284304"/>
        <c:scaling>
          <c:orientation val="minMax"/>
        </c:scaling>
        <c:delete val="1"/>
        <c:axPos val="b"/>
        <c:numFmt formatCode="0.00%" sourceLinked="1"/>
        <c:majorTickMark val="out"/>
        <c:minorTickMark val="none"/>
        <c:tickLblPos val="nextTo"/>
        <c:crossAx val="78729486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03D3D"/>
      </a:dk2>
      <a:lt2>
        <a:srgbClr val="E8E8E8"/>
      </a:lt2>
      <a:accent1>
        <a:srgbClr val="006969"/>
      </a:accent1>
      <a:accent2>
        <a:srgbClr val="CCB280"/>
      </a:accent2>
      <a:accent3>
        <a:srgbClr val="89BDB4"/>
      </a:accent3>
      <a:accent4>
        <a:srgbClr val="039686"/>
      </a:accent4>
      <a:accent5>
        <a:srgbClr val="BAEADF"/>
      </a:accent5>
      <a:accent6>
        <a:srgbClr val="89BDB4"/>
      </a:accent6>
      <a:hlink>
        <a:srgbClr val="028078"/>
      </a:hlink>
      <a:folHlink>
        <a:srgbClr val="89BDB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Manrope Light"/>
        <a:font script="Hebr" typeface="Manrope Light"/>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Manrope Light"/>
        <a:font script="Uigh" typeface="Microsoft Uighur"/>
        <a:font script="Geor" typeface="Sylfaen"/>
        <a:font script="Armn" typeface="Manrope Light"/>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Manrope Light"/>
        <a:font script="Hebr" typeface="Manrope Light"/>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Manrope Light"/>
        <a:font script="Uigh" typeface="Microsoft Uighur"/>
        <a:font script="Geor" typeface="Sylfaen"/>
        <a:font script="Armn" typeface="Manrope Light"/>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202</TotalTime>
  <Pages>2</Pages>
  <Words>740</Words>
  <Characters>4220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Credent Fincart Direct MF Strategic Portfolio - April 2026 Factsheet</vt:lpstr>
    </vt:vector>
  </TitlesOfParts>
  <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Credent Fincart Direct MF Strategic Portfolio - April 2026 Factsheet</dc:title>
  <dc:creator>Credent Asset Management</dc:creator>
  <cp:lastModifiedBy>Credent PMS</cp:lastModifiedBy>
  <cp:revision>14</cp:revision>
  <cp:lastPrinted>2026-08-06T12:01:00Z</cp:lastPrinted>
  <dcterms:created xsi:type="dcterms:W3CDTF">2026-07-09T09:40:00Z</dcterms:created>
  <dcterms:modified xsi:type="dcterms:W3CDTF">2026-08-06T12:03:00Z</dcterms:modified>
</cp:coreProperties>
</file>